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98" w:rsidRPr="00765F5D" w:rsidRDefault="00B82198" w:rsidP="00765F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765F5D">
        <w:rPr>
          <w:rFonts w:ascii="Times New Roman" w:hAnsi="Times New Roman" w:cs="Times New Roman"/>
          <w:b/>
          <w:sz w:val="24"/>
          <w:szCs w:val="28"/>
        </w:rPr>
        <w:t>Пасека М</w:t>
      </w:r>
      <w:r w:rsidR="00765F5D" w:rsidRPr="00765F5D">
        <w:rPr>
          <w:rFonts w:ascii="Times New Roman" w:hAnsi="Times New Roman" w:cs="Times New Roman"/>
          <w:b/>
          <w:sz w:val="24"/>
          <w:szCs w:val="28"/>
        </w:rPr>
        <w:t>ария</w:t>
      </w:r>
      <w:r w:rsidRPr="00765F5D">
        <w:rPr>
          <w:rFonts w:ascii="Times New Roman" w:hAnsi="Times New Roman" w:cs="Times New Roman"/>
          <w:b/>
          <w:sz w:val="24"/>
          <w:szCs w:val="28"/>
        </w:rPr>
        <w:t xml:space="preserve"> А</w:t>
      </w:r>
      <w:r w:rsidR="00765F5D" w:rsidRPr="00765F5D">
        <w:rPr>
          <w:rFonts w:ascii="Times New Roman" w:hAnsi="Times New Roman" w:cs="Times New Roman"/>
          <w:b/>
          <w:sz w:val="24"/>
          <w:szCs w:val="28"/>
        </w:rPr>
        <w:t>лександровна</w:t>
      </w:r>
    </w:p>
    <w:p w:rsidR="00765F5D" w:rsidRPr="00765F5D" w:rsidRDefault="00765F5D" w:rsidP="00765F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765F5D">
        <w:rPr>
          <w:rFonts w:ascii="Times New Roman" w:hAnsi="Times New Roman" w:cs="Times New Roman"/>
          <w:b/>
          <w:sz w:val="24"/>
          <w:szCs w:val="28"/>
        </w:rPr>
        <w:t>учитель английского языка</w:t>
      </w:r>
    </w:p>
    <w:p w:rsidR="00765F5D" w:rsidRPr="00765F5D" w:rsidRDefault="00765F5D" w:rsidP="00765F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765F5D">
        <w:rPr>
          <w:rFonts w:ascii="Times New Roman" w:hAnsi="Times New Roman" w:cs="Times New Roman"/>
          <w:b/>
          <w:sz w:val="24"/>
          <w:szCs w:val="28"/>
        </w:rPr>
        <w:t>МБОУ «Гимназия №22»</w:t>
      </w:r>
    </w:p>
    <w:p w:rsidR="00765F5D" w:rsidRDefault="00765F5D" w:rsidP="00765F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765F5D">
        <w:rPr>
          <w:rFonts w:ascii="Times New Roman" w:hAnsi="Times New Roman" w:cs="Times New Roman"/>
          <w:b/>
          <w:sz w:val="24"/>
          <w:szCs w:val="28"/>
        </w:rPr>
        <w:t>города Барнаула</w:t>
      </w:r>
    </w:p>
    <w:p w:rsidR="004E6F64" w:rsidRPr="00765F5D" w:rsidRDefault="00765F5D" w:rsidP="00765F5D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5F5D">
        <w:rPr>
          <w:rFonts w:ascii="Times New Roman" w:hAnsi="Times New Roman" w:cs="Times New Roman"/>
          <w:b/>
          <w:sz w:val="24"/>
          <w:szCs w:val="28"/>
        </w:rPr>
        <w:t>ПРОБЛЕМЫ НАСТАВНИЧЕСТВА В СОВРЕМЕННОЙ ШКОЛЕ</w:t>
      </w:r>
    </w:p>
    <w:p w:rsidR="00F0582F" w:rsidRPr="00765F5D" w:rsidRDefault="004E6F64" w:rsidP="00765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 xml:space="preserve">Наставничество играет важную роль в успешном развитии молодых специалистов в образовании. В современной школе, наставничество направлено на поддержку и направление для новых учителей. Оно предоставляет индивидуализированную помощь и руководство, способствуя их профессиональному росту и эффективности образовательного процесса. Однако существуют проблемы, которые мешают эффективности наставничества молодых специалистов. </w:t>
      </w:r>
      <w:r w:rsidR="00F0582F" w:rsidRPr="00765F5D">
        <w:rPr>
          <w:rFonts w:ascii="Times New Roman" w:hAnsi="Times New Roman" w:cs="Times New Roman"/>
          <w:sz w:val="24"/>
          <w:szCs w:val="28"/>
        </w:rPr>
        <w:t xml:space="preserve">В современных школах </w:t>
      </w:r>
      <w:r w:rsidR="00CB3435">
        <w:rPr>
          <w:rFonts w:ascii="Times New Roman" w:hAnsi="Times New Roman" w:cs="Times New Roman"/>
          <w:sz w:val="24"/>
          <w:szCs w:val="28"/>
        </w:rPr>
        <w:t>данный процесс</w:t>
      </w:r>
      <w:r w:rsidR="00F0582F" w:rsidRPr="00765F5D">
        <w:rPr>
          <w:rFonts w:ascii="Times New Roman" w:hAnsi="Times New Roman" w:cs="Times New Roman"/>
          <w:sz w:val="24"/>
          <w:szCs w:val="28"/>
        </w:rPr>
        <w:t xml:space="preserve"> </w:t>
      </w:r>
      <w:r w:rsidR="00CB3435">
        <w:rPr>
          <w:rFonts w:ascii="Times New Roman" w:hAnsi="Times New Roman" w:cs="Times New Roman"/>
          <w:sz w:val="24"/>
          <w:szCs w:val="28"/>
        </w:rPr>
        <w:t xml:space="preserve">организован </w:t>
      </w:r>
      <w:r w:rsidR="00CB3435" w:rsidRPr="00765F5D">
        <w:rPr>
          <w:rFonts w:ascii="Times New Roman" w:hAnsi="Times New Roman" w:cs="Times New Roman"/>
          <w:sz w:val="24"/>
          <w:szCs w:val="28"/>
        </w:rPr>
        <w:t>несоот</w:t>
      </w:r>
      <w:r w:rsidR="00CB3435">
        <w:rPr>
          <w:rFonts w:ascii="Times New Roman" w:hAnsi="Times New Roman" w:cs="Times New Roman"/>
          <w:sz w:val="24"/>
          <w:szCs w:val="28"/>
        </w:rPr>
        <w:t>ветствующим образом или недостаточно развит. В данной статье</w:t>
      </w:r>
      <w:r w:rsidR="00F0582F" w:rsidRPr="00765F5D">
        <w:rPr>
          <w:rFonts w:ascii="Times New Roman" w:hAnsi="Times New Roman" w:cs="Times New Roman"/>
          <w:sz w:val="24"/>
          <w:szCs w:val="28"/>
        </w:rPr>
        <w:t xml:space="preserve"> рассматривается характеристика проблем наставничества молодых специалистов, и предлагаются возможные пути их решения на уровне учителя и школы.</w:t>
      </w:r>
    </w:p>
    <w:p w:rsidR="004E6F64" w:rsidRPr="00765F5D" w:rsidRDefault="004E6F64" w:rsidP="00CB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 xml:space="preserve">Одной из основных проблем является отсутствие системного подхода. Часто, наставничество ограничивается индивидуальной работой молодого учителя с одним </w:t>
      </w:r>
      <w:r w:rsidR="00D97996">
        <w:rPr>
          <w:rFonts w:ascii="Times New Roman" w:hAnsi="Times New Roman" w:cs="Times New Roman"/>
          <w:sz w:val="24"/>
          <w:szCs w:val="28"/>
        </w:rPr>
        <w:t>педагогм</w:t>
      </w:r>
      <w:r w:rsidRPr="00765F5D">
        <w:rPr>
          <w:rFonts w:ascii="Times New Roman" w:hAnsi="Times New Roman" w:cs="Times New Roman"/>
          <w:sz w:val="24"/>
          <w:szCs w:val="28"/>
        </w:rPr>
        <w:t>, не предусматривая организации коллективного опыта и поддержки. Это приводит к недостаточному развитию навыков и знаний молодого специалиста, а также затрудняет сопровождение в процессе его профессиональной деятельности.</w:t>
      </w:r>
    </w:p>
    <w:p w:rsidR="004E6F64" w:rsidRPr="00765F5D" w:rsidRDefault="004E6F64" w:rsidP="00CB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>Пути решения:</w:t>
      </w:r>
    </w:p>
    <w:p w:rsidR="004E6F64" w:rsidRPr="00765F5D" w:rsidRDefault="004E6F64" w:rsidP="00765F5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>Создание наставнических программ с участием нескольких опытных и квалифицированных учителей. Подобные программы помогут молодым специалистам получить разностороннюю поддержку и знания от различных наставников, что способствует развитию их профессиональных компетенций.</w:t>
      </w:r>
    </w:p>
    <w:p w:rsidR="004E6F64" w:rsidRPr="00765F5D" w:rsidRDefault="004E6F64" w:rsidP="00765F5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>Организация периодических семинаров и конференций для обмена опытом между молодыми специалистами и более опытными коллегами. В рамках этих мероприятий молодым учителям предоставляется возможность обсудить свои трудности, задать вопросы и получить поддержку от профессионалов.</w:t>
      </w:r>
    </w:p>
    <w:p w:rsidR="004E6F64" w:rsidRPr="00765F5D" w:rsidRDefault="004E6F64" w:rsidP="00CB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>Следующая проблема состоит в том, что не все наставники обладают достаточным педагогическим мастерством, чтобы эффективно сопровождать молодых специалистов. Возникают ситуации, когда наставник не в состоянии предоставить необходимую экспертизу и управлять процессом профессионального развития молодого учителя.</w:t>
      </w:r>
    </w:p>
    <w:p w:rsidR="004E6F64" w:rsidRPr="00765F5D" w:rsidRDefault="004E6F64" w:rsidP="00CB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>Пути решения:</w:t>
      </w:r>
    </w:p>
    <w:p w:rsidR="004E6F64" w:rsidRPr="00765F5D" w:rsidRDefault="004E6F64" w:rsidP="00765F5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>Организация обучающих программ для наставников, направленных на развитие их педагогическо</w:t>
      </w:r>
      <w:r w:rsidR="00A06CFD" w:rsidRPr="00765F5D">
        <w:rPr>
          <w:rFonts w:ascii="Times New Roman" w:hAnsi="Times New Roman" w:cs="Times New Roman"/>
          <w:sz w:val="24"/>
          <w:szCs w:val="28"/>
        </w:rPr>
        <w:t xml:space="preserve">го </w:t>
      </w:r>
      <w:r w:rsidRPr="00765F5D">
        <w:rPr>
          <w:rFonts w:ascii="Times New Roman" w:hAnsi="Times New Roman" w:cs="Times New Roman"/>
          <w:sz w:val="24"/>
          <w:szCs w:val="28"/>
        </w:rPr>
        <w:t>мастер</w:t>
      </w:r>
      <w:r w:rsidR="00A06CFD" w:rsidRPr="00765F5D">
        <w:rPr>
          <w:rFonts w:ascii="Times New Roman" w:hAnsi="Times New Roman" w:cs="Times New Roman"/>
          <w:sz w:val="24"/>
          <w:szCs w:val="28"/>
        </w:rPr>
        <w:t>ства</w:t>
      </w:r>
      <w:r w:rsidRPr="00765F5D">
        <w:rPr>
          <w:rFonts w:ascii="Times New Roman" w:hAnsi="Times New Roman" w:cs="Times New Roman"/>
          <w:sz w:val="24"/>
          <w:szCs w:val="28"/>
        </w:rPr>
        <w:t xml:space="preserve"> и профессионализма в роли наставников. </w:t>
      </w:r>
      <w:r w:rsidR="00D97996">
        <w:rPr>
          <w:rFonts w:ascii="Times New Roman" w:hAnsi="Times New Roman" w:cs="Times New Roman"/>
          <w:sz w:val="24"/>
          <w:szCs w:val="28"/>
        </w:rPr>
        <w:t>Они</w:t>
      </w:r>
      <w:r w:rsidRPr="00765F5D">
        <w:rPr>
          <w:rFonts w:ascii="Times New Roman" w:hAnsi="Times New Roman" w:cs="Times New Roman"/>
          <w:sz w:val="24"/>
          <w:szCs w:val="28"/>
        </w:rPr>
        <w:t xml:space="preserve"> должны включать в себя такие аспекты, как развитие эмоциональной поддержки, коммуникативных навыков, анализа и обратной связи.</w:t>
      </w:r>
      <w:r w:rsidR="00195C1A" w:rsidRPr="00765F5D">
        <w:rPr>
          <w:rFonts w:ascii="Times New Roman" w:hAnsi="Times New Roman" w:cs="Times New Roman"/>
          <w:sz w:val="24"/>
          <w:szCs w:val="28"/>
        </w:rPr>
        <w:t xml:space="preserve"> Данные программы могут быть созданы учителями-стажистами, которые имеют большой педагогический опыт и/или практику наставничества с обучающимися.</w:t>
      </w:r>
    </w:p>
    <w:p w:rsidR="00CB3435" w:rsidRDefault="004E6F64" w:rsidP="00765F5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>Введение системы оценки и мониторинга профессиональной деятельности наставников</w:t>
      </w:r>
      <w:r w:rsidR="00D97996">
        <w:rPr>
          <w:rFonts w:ascii="Times New Roman" w:hAnsi="Times New Roman" w:cs="Times New Roman"/>
          <w:sz w:val="24"/>
          <w:szCs w:val="28"/>
        </w:rPr>
        <w:t xml:space="preserve"> на уровне школы</w:t>
      </w:r>
      <w:r w:rsidRPr="00765F5D">
        <w:rPr>
          <w:rFonts w:ascii="Times New Roman" w:hAnsi="Times New Roman" w:cs="Times New Roman"/>
          <w:sz w:val="24"/>
          <w:szCs w:val="28"/>
        </w:rPr>
        <w:t>. Это позволит выявить и поддержать наставников, проявляющих высокую компетентность и эффективность, а также предоставить дополнительную поддержку и обучение тем, кто нуждается в улучшении своих навыков.</w:t>
      </w:r>
      <w:r w:rsidR="00195C1A" w:rsidRPr="00765F5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E6F64" w:rsidRPr="00765F5D" w:rsidRDefault="00195C1A" w:rsidP="00CB343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>Да</w:t>
      </w:r>
      <w:r w:rsidR="009426BD" w:rsidRPr="00765F5D">
        <w:rPr>
          <w:rFonts w:ascii="Times New Roman" w:hAnsi="Times New Roman" w:cs="Times New Roman"/>
          <w:sz w:val="24"/>
          <w:szCs w:val="28"/>
        </w:rPr>
        <w:t>нная система может включать в себя следующие элементы:</w:t>
      </w:r>
    </w:p>
    <w:p w:rsidR="009426BD" w:rsidRPr="00CB3435" w:rsidRDefault="009426BD" w:rsidP="00CB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B3435">
        <w:rPr>
          <w:rFonts w:ascii="Times New Roman" w:hAnsi="Times New Roman" w:cs="Times New Roman"/>
          <w:sz w:val="24"/>
          <w:szCs w:val="28"/>
        </w:rPr>
        <w:t>Установление критериев оценки: определение ключевых аспектов профессиональной деятельности наставников по отношению к молодым специалистам. Критерии могут включать поддержку, наставничество, развитие профессиональных навыков и компетенций, содействие в адаптации и прогрессе молодых специалистов.</w:t>
      </w:r>
    </w:p>
    <w:p w:rsidR="009426BD" w:rsidRPr="00CB3435" w:rsidRDefault="009426BD" w:rsidP="00CB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B3435">
        <w:rPr>
          <w:rFonts w:ascii="Times New Roman" w:hAnsi="Times New Roman" w:cs="Times New Roman"/>
          <w:sz w:val="24"/>
          <w:szCs w:val="28"/>
        </w:rPr>
        <w:t>Определение показателей оценки: разработка конкретных показателей, которые позволят оценить выполнение каждого критерия. Показатели могут включать факторы</w:t>
      </w:r>
      <w:r w:rsidR="00D97996">
        <w:rPr>
          <w:rFonts w:ascii="Times New Roman" w:hAnsi="Times New Roman" w:cs="Times New Roman"/>
          <w:sz w:val="24"/>
          <w:szCs w:val="28"/>
        </w:rPr>
        <w:t>:</w:t>
      </w:r>
      <w:r w:rsidRPr="00CB3435">
        <w:rPr>
          <w:rFonts w:ascii="Times New Roman" w:hAnsi="Times New Roman" w:cs="Times New Roman"/>
          <w:sz w:val="24"/>
          <w:szCs w:val="28"/>
        </w:rPr>
        <w:t xml:space="preserve"> </w:t>
      </w:r>
      <w:r w:rsidRPr="00CB3435">
        <w:rPr>
          <w:rFonts w:ascii="Times New Roman" w:hAnsi="Times New Roman" w:cs="Times New Roman"/>
          <w:sz w:val="24"/>
          <w:szCs w:val="28"/>
        </w:rPr>
        <w:lastRenderedPageBreak/>
        <w:t>регулярность взаимодействия с молодыми специалистами, обратная связь, активное участие в процессе обучения и развития молодых специалистов и т.д.</w:t>
      </w:r>
    </w:p>
    <w:p w:rsidR="009426BD" w:rsidRPr="00CB3435" w:rsidRDefault="009426BD" w:rsidP="00CB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B3435">
        <w:rPr>
          <w:rFonts w:ascii="Times New Roman" w:hAnsi="Times New Roman" w:cs="Times New Roman"/>
          <w:sz w:val="24"/>
          <w:szCs w:val="28"/>
        </w:rPr>
        <w:t>Оценка: проведение регулярного оценивания профессиональной деятельности наставников по отношению к молодым специалистам. Оценку можно осуществлять с помощью анкетирования, опросов, наблюдений и других методов, позволяющих получить объективную информацию о работе наставников.</w:t>
      </w:r>
    </w:p>
    <w:p w:rsidR="009426BD" w:rsidRPr="00CB3435" w:rsidRDefault="009426BD" w:rsidP="00CB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B3435">
        <w:rPr>
          <w:rFonts w:ascii="Times New Roman" w:hAnsi="Times New Roman" w:cs="Times New Roman"/>
          <w:sz w:val="24"/>
          <w:szCs w:val="28"/>
        </w:rPr>
        <w:t>Анализ результатов: проведение анализа полученных данных для выявления сильных и слабых сторон работы наставников. Это позволит определить направления развития и совершенствования работы с молодыми специалистами.</w:t>
      </w:r>
    </w:p>
    <w:p w:rsidR="009426BD" w:rsidRPr="00CB3435" w:rsidRDefault="009426BD" w:rsidP="00CB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B3435">
        <w:rPr>
          <w:rFonts w:ascii="Times New Roman" w:hAnsi="Times New Roman" w:cs="Times New Roman"/>
          <w:sz w:val="24"/>
          <w:szCs w:val="28"/>
        </w:rPr>
        <w:t>Обратная связь и разработка планов действий: обратная связь с наставниками на основе результатов оценки. Используя полученные данные, разработать планы действий для улучшения профессиональной деятельности наставников и предоставить им рекомендации по улучшению.</w:t>
      </w:r>
    </w:p>
    <w:p w:rsidR="009426BD" w:rsidRPr="00CB3435" w:rsidRDefault="009426BD" w:rsidP="00CB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B3435">
        <w:rPr>
          <w:rFonts w:ascii="Times New Roman" w:hAnsi="Times New Roman" w:cs="Times New Roman"/>
          <w:sz w:val="24"/>
          <w:szCs w:val="28"/>
        </w:rPr>
        <w:t>Мониторинг: проведение регулярного мониторинга выполненных планов действий и прогресса наставников в отношении молодых специалистов. Мониторинг позволит следить за эффективностью применения разработанных рекомендаций и вносить корректировки при необходимости.</w:t>
      </w:r>
    </w:p>
    <w:p w:rsidR="009426BD" w:rsidRPr="00CB3435" w:rsidRDefault="009426BD" w:rsidP="00CB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B3435">
        <w:rPr>
          <w:rFonts w:ascii="Times New Roman" w:hAnsi="Times New Roman" w:cs="Times New Roman"/>
          <w:sz w:val="24"/>
          <w:szCs w:val="28"/>
        </w:rPr>
        <w:t>Поддержка и развитие: обеспечение поддержки и развития наставников в их работе с молодыми специалистами. Это может включать проведение тренингов, семинаров, организацию профессиональных сообществ и других мероприятий, направленных на продвижение профессионального роста наставников.</w:t>
      </w:r>
    </w:p>
    <w:p w:rsidR="009426BD" w:rsidRPr="00CB3435" w:rsidRDefault="009426BD" w:rsidP="00CB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B3435">
        <w:rPr>
          <w:rFonts w:ascii="Times New Roman" w:hAnsi="Times New Roman" w:cs="Times New Roman"/>
          <w:sz w:val="24"/>
          <w:szCs w:val="28"/>
        </w:rPr>
        <w:t>Коммуникация: обеспечение открытой коммуникации между наставниками, молодыми специалистами и администрацией школы. Это позволит обменяться опытом, идеями и устанавливать эффективное взаимодействие в рамках наставничества.</w:t>
      </w:r>
    </w:p>
    <w:p w:rsidR="009426BD" w:rsidRDefault="009426BD" w:rsidP="00765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>Система оценки и мониторинга профессиональной деятельности наставников должна быть систематичной, прозрачной и подразум</w:t>
      </w:r>
      <w:r w:rsidR="007D1DF6" w:rsidRPr="00765F5D">
        <w:rPr>
          <w:rFonts w:ascii="Times New Roman" w:hAnsi="Times New Roman" w:cs="Times New Roman"/>
          <w:sz w:val="24"/>
          <w:szCs w:val="28"/>
        </w:rPr>
        <w:t>евать тесное сотрудничество наставников, молодых специалистов и руководства школы.</w:t>
      </w:r>
    </w:p>
    <w:p w:rsidR="004E6F64" w:rsidRPr="00765F5D" w:rsidRDefault="004E6F64" w:rsidP="00765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>Еще одной проблемой является ограниченное количество времени и ресурсов, которые у наставников имеются для наставнической работы. Молодые специалисты требуют индивидуального сопровождения и регулярной обратной связи, но из-за насыщенности учебными планами и другими обязанностями наставники не всегда могут это обеспечить.</w:t>
      </w:r>
    </w:p>
    <w:p w:rsidR="004E6F64" w:rsidRPr="00765F5D" w:rsidRDefault="004E6F64" w:rsidP="00765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>Пути решения:</w:t>
      </w:r>
    </w:p>
    <w:p w:rsidR="004E6F64" w:rsidRPr="00765F5D" w:rsidRDefault="004E6F64" w:rsidP="00765F5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>Установление доступного расписания и регулярных встреч между наставником и молодым специалистом. Это позволит иметь четкую структуру и план работы, создавая условия для систематического сопровождения и обратной связи.</w:t>
      </w:r>
    </w:p>
    <w:p w:rsidR="004E6F64" w:rsidRPr="00765F5D" w:rsidRDefault="004E6F64" w:rsidP="00765F5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>Предоставление дополнительных ресурсов и поддержки наставникам для выполнения наставнической работы. Это может быть</w:t>
      </w:r>
      <w:r w:rsidR="0033642F">
        <w:rPr>
          <w:rFonts w:ascii="Times New Roman" w:hAnsi="Times New Roman" w:cs="Times New Roman"/>
          <w:sz w:val="24"/>
          <w:szCs w:val="28"/>
        </w:rPr>
        <w:t xml:space="preserve"> реализовано</w:t>
      </w:r>
      <w:r w:rsidRPr="00765F5D">
        <w:rPr>
          <w:rFonts w:ascii="Times New Roman" w:hAnsi="Times New Roman" w:cs="Times New Roman"/>
          <w:sz w:val="24"/>
          <w:szCs w:val="28"/>
        </w:rPr>
        <w:t xml:space="preserve"> в виде выделения дополнительных учебных материалов, инструментов и финансовых средств для организации специализированных мероприятий и занятий.</w:t>
      </w:r>
    </w:p>
    <w:p w:rsidR="00F0582F" w:rsidRPr="00765F5D" w:rsidRDefault="0050417E" w:rsidP="00765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>Четвертой</w:t>
      </w:r>
      <w:r w:rsidR="00F0582F" w:rsidRPr="00765F5D">
        <w:rPr>
          <w:rFonts w:ascii="Times New Roman" w:hAnsi="Times New Roman" w:cs="Times New Roman"/>
          <w:sz w:val="24"/>
          <w:szCs w:val="28"/>
        </w:rPr>
        <w:t xml:space="preserve"> проблемой является отсутствие четких целей и задач наставничества. Наставники и молодые специалисты могут оказаться в ситуации, когда ни одна из сторон не понимает, что конкретно от них требуется. Это может привести к недооценке или перегрузке обеих сторон.</w:t>
      </w:r>
    </w:p>
    <w:p w:rsidR="00F0582F" w:rsidRPr="00765F5D" w:rsidRDefault="00F0582F" w:rsidP="00765F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>Пути решения:</w:t>
      </w:r>
    </w:p>
    <w:p w:rsidR="00F0582F" w:rsidRPr="00765F5D" w:rsidRDefault="00F0582F" w:rsidP="00765F5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 xml:space="preserve">Для решения второй проблемы необходимо четко определить цели и задачи наставничества и обеспечить их понимание и согласованность среди учителя и молодого специалиста. Это может быть достигнуто путем разработки индивидуальных планов развития </w:t>
      </w:r>
      <w:r w:rsidR="0050417E" w:rsidRPr="00765F5D">
        <w:rPr>
          <w:rFonts w:ascii="Times New Roman" w:hAnsi="Times New Roman" w:cs="Times New Roman"/>
          <w:sz w:val="24"/>
          <w:szCs w:val="28"/>
        </w:rPr>
        <w:t>и регулярного обмена мнениями</w:t>
      </w:r>
      <w:r w:rsidRPr="00765F5D">
        <w:rPr>
          <w:rFonts w:ascii="Times New Roman" w:hAnsi="Times New Roman" w:cs="Times New Roman"/>
          <w:sz w:val="24"/>
          <w:szCs w:val="28"/>
        </w:rPr>
        <w:t>.</w:t>
      </w:r>
    </w:p>
    <w:p w:rsidR="00F0582F" w:rsidRPr="00765F5D" w:rsidRDefault="0050417E" w:rsidP="00875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>Пятая проблема</w:t>
      </w:r>
      <w:r w:rsidR="00F0582F" w:rsidRPr="00765F5D">
        <w:rPr>
          <w:rFonts w:ascii="Times New Roman" w:hAnsi="Times New Roman" w:cs="Times New Roman"/>
          <w:sz w:val="24"/>
          <w:szCs w:val="28"/>
        </w:rPr>
        <w:t xml:space="preserve"> связана с недостаточным вниманием к развитию личностных и профессиональных качеств молодых специалистов. Молодые учителя могут быть недостаточно мотивированы или не видеть перспективы своего развития, что негативно сказывается на их работе и профессиональном росте.</w:t>
      </w:r>
    </w:p>
    <w:p w:rsidR="00F0582F" w:rsidRPr="00765F5D" w:rsidRDefault="00F0582F" w:rsidP="0087547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lastRenderedPageBreak/>
        <w:t>Пути решения:</w:t>
      </w:r>
    </w:p>
    <w:p w:rsidR="0033642F" w:rsidRDefault="00F0582F" w:rsidP="008754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>Поддержка и стимулирование развития молодого специалиста. Для решения третьей проблемы необходимо предоставить возможности для развития личностных и профессиональных качеств молодого специалистов.</w:t>
      </w:r>
      <w:r w:rsidR="0033642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3642F" w:rsidRPr="0033642F" w:rsidRDefault="0033642F" w:rsidP="008754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Индивидуальное развитие: </w:t>
      </w:r>
      <w:r w:rsidRPr="0033642F">
        <w:rPr>
          <w:rFonts w:ascii="Times New Roman" w:hAnsi="Times New Roman" w:cs="Times New Roman"/>
          <w:sz w:val="24"/>
          <w:szCs w:val="28"/>
        </w:rPr>
        <w:t>учитывание индивидуальных целей и потребностей молодого специалиста при планировании его развития и карьерного роста.</w:t>
      </w:r>
    </w:p>
    <w:p w:rsidR="0087547D" w:rsidRDefault="0033642F" w:rsidP="0087547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2F">
        <w:rPr>
          <w:rFonts w:ascii="Times New Roman" w:hAnsi="Times New Roman" w:cs="Times New Roman"/>
          <w:sz w:val="24"/>
          <w:szCs w:val="28"/>
        </w:rPr>
        <w:t xml:space="preserve">Поощрение и мотивация: предоставление </w:t>
      </w:r>
      <w:r w:rsidR="0087547D">
        <w:rPr>
          <w:rFonts w:ascii="Times New Roman" w:hAnsi="Times New Roman" w:cs="Times New Roman"/>
          <w:sz w:val="24"/>
          <w:szCs w:val="28"/>
        </w:rPr>
        <w:t>различных</w:t>
      </w:r>
      <w:r w:rsidRPr="0033642F">
        <w:rPr>
          <w:rFonts w:ascii="Times New Roman" w:hAnsi="Times New Roman" w:cs="Times New Roman"/>
          <w:sz w:val="24"/>
          <w:szCs w:val="28"/>
        </w:rPr>
        <w:t xml:space="preserve"> бонусов, премий или других форм вознаграждения за достижения молодого специалиста и его вклад в </w:t>
      </w:r>
      <w:r w:rsidR="0087547D">
        <w:rPr>
          <w:rFonts w:ascii="Times New Roman" w:hAnsi="Times New Roman" w:cs="Times New Roman"/>
          <w:sz w:val="24"/>
          <w:szCs w:val="28"/>
        </w:rPr>
        <w:t>научное и методическое объединение школы</w:t>
      </w:r>
      <w:r w:rsidRPr="0033642F">
        <w:rPr>
          <w:rFonts w:ascii="Times New Roman" w:hAnsi="Times New Roman" w:cs="Times New Roman"/>
          <w:sz w:val="24"/>
          <w:szCs w:val="28"/>
        </w:rPr>
        <w:t>.</w:t>
      </w:r>
    </w:p>
    <w:p w:rsidR="004E6F64" w:rsidRPr="0087547D" w:rsidRDefault="004E6F64" w:rsidP="00875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7547D">
        <w:rPr>
          <w:rFonts w:ascii="Times New Roman" w:hAnsi="Times New Roman" w:cs="Times New Roman"/>
          <w:sz w:val="24"/>
          <w:szCs w:val="28"/>
        </w:rPr>
        <w:t xml:space="preserve">Проблемы наставничества молодых специалистов в современной школе требуют пристального внимания и поиска эффективных стратегий решения. Предложенные выше пути решения, основанные на системном подходе к наставничеству, развитии педагогического мастерства наставников и обеспечении необходимых временных и ресурсных условий, способны существенно повысить эффективность наставничества молодых специалистов. </w:t>
      </w:r>
    </w:p>
    <w:p w:rsidR="004E6F64" w:rsidRPr="00765F5D" w:rsidRDefault="0050417E" w:rsidP="00765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5F5D">
        <w:rPr>
          <w:rFonts w:ascii="Times New Roman" w:hAnsi="Times New Roman" w:cs="Times New Roman"/>
          <w:b/>
          <w:sz w:val="24"/>
          <w:szCs w:val="28"/>
        </w:rPr>
        <w:t>Список используемой литературы</w:t>
      </w:r>
    </w:p>
    <w:p w:rsidR="00261A7F" w:rsidRPr="00765F5D" w:rsidRDefault="00261A7F" w:rsidP="00765F5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 xml:space="preserve">Акутина, С. П. </w:t>
      </w:r>
      <w:r w:rsidRPr="00765F5D">
        <w:rPr>
          <w:rFonts w:ascii="Times New Roman" w:hAnsi="Times New Roman" w:cs="Times New Roman"/>
          <w:bCs/>
          <w:iCs/>
          <w:sz w:val="24"/>
          <w:szCs w:val="28"/>
        </w:rPr>
        <w:t>Актуальные проблемы развития наставничества: опыт и тенденции нового времени / С. П. Акутина, Т. В. Калинина // Международный научно-исследовательский журнал. – 2021. – №4 (106). – Часть 3. – С. 8-13.</w:t>
      </w:r>
    </w:p>
    <w:p w:rsidR="00836DAE" w:rsidRPr="00765F5D" w:rsidRDefault="00836DAE" w:rsidP="00765F5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65F5D">
        <w:rPr>
          <w:rFonts w:ascii="Times New Roman" w:hAnsi="Times New Roman" w:cs="Times New Roman"/>
          <w:bCs/>
          <w:sz w:val="24"/>
          <w:szCs w:val="28"/>
        </w:rPr>
        <w:t xml:space="preserve">Дипломатова, З. Ю. </w:t>
      </w:r>
      <w:r w:rsidRPr="00765F5D">
        <w:rPr>
          <w:rFonts w:ascii="Times New Roman" w:hAnsi="Times New Roman" w:cs="Times New Roman"/>
          <w:bCs/>
          <w:iCs/>
          <w:sz w:val="24"/>
          <w:szCs w:val="28"/>
        </w:rPr>
        <w:t>Наставничество в образовательной организации как условие карьерного роста учителя /</w:t>
      </w:r>
      <w:r w:rsidRPr="00765F5D">
        <w:rPr>
          <w:rFonts w:ascii="Times New Roman" w:hAnsi="Times New Roman" w:cs="Times New Roman"/>
          <w:bCs/>
          <w:sz w:val="24"/>
          <w:szCs w:val="28"/>
        </w:rPr>
        <w:t xml:space="preserve"> З. Ю. </w:t>
      </w:r>
      <w:r w:rsidRPr="00765F5D">
        <w:rPr>
          <w:rFonts w:ascii="Times New Roman" w:hAnsi="Times New Roman" w:cs="Times New Roman"/>
          <w:bCs/>
          <w:iCs/>
          <w:sz w:val="24"/>
          <w:szCs w:val="28"/>
        </w:rPr>
        <w:t>Дипломатова, В. Н. Иванов Г. А. Александрова // Вестник Чувашского государственного педагогического университета им. И. Я. Яковлева</w:t>
      </w:r>
      <w:r w:rsidRPr="00765F5D">
        <w:rPr>
          <w:rFonts w:ascii="Times New Roman" w:hAnsi="Times New Roman" w:cs="Times New Roman"/>
          <w:bCs/>
          <w:sz w:val="24"/>
          <w:szCs w:val="28"/>
        </w:rPr>
        <w:t>. – 2021. – №1. – С. 131-140.</w:t>
      </w:r>
    </w:p>
    <w:p w:rsidR="00161BCF" w:rsidRPr="00765F5D" w:rsidRDefault="00161BCF" w:rsidP="00765F5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5F5D">
        <w:rPr>
          <w:rFonts w:ascii="Times New Roman" w:hAnsi="Times New Roman" w:cs="Times New Roman"/>
          <w:sz w:val="24"/>
          <w:szCs w:val="28"/>
        </w:rPr>
        <w:t>Тулякова, В. В. Риски организации наставничества в школе / В. В. Тулякова. – Текст : непосредственный // Молодой ученый. – 2020. – № 24 (314).  – С. 435-437. – URL: https://moluch.ru/archive/314/71698/ (дата обращения: 24.10.2023).</w:t>
      </w:r>
    </w:p>
    <w:p w:rsidR="001434A3" w:rsidRPr="00765F5D" w:rsidRDefault="00836DAE" w:rsidP="00765F5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65F5D">
        <w:rPr>
          <w:rFonts w:ascii="Times New Roman" w:hAnsi="Times New Roman" w:cs="Times New Roman"/>
          <w:bCs/>
          <w:sz w:val="24"/>
          <w:szCs w:val="28"/>
        </w:rPr>
        <w:t>Осипова, Т. Ю.</w:t>
      </w:r>
      <w:r w:rsidR="001434A3" w:rsidRPr="00765F5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434A3" w:rsidRPr="00765F5D">
        <w:rPr>
          <w:rFonts w:ascii="Times New Roman" w:hAnsi="Times New Roman" w:cs="Times New Roman"/>
          <w:bCs/>
          <w:iCs/>
          <w:sz w:val="24"/>
          <w:szCs w:val="28"/>
        </w:rPr>
        <w:t>Функциональные векторы педагогического наставничества / Т. Ю. Осипова // Концепт</w:t>
      </w:r>
      <w:r w:rsidR="001434A3" w:rsidRPr="00765F5D">
        <w:rPr>
          <w:rFonts w:ascii="Times New Roman" w:hAnsi="Times New Roman" w:cs="Times New Roman"/>
          <w:bCs/>
          <w:sz w:val="24"/>
          <w:szCs w:val="28"/>
        </w:rPr>
        <w:t>. – 2015. – №3. – С.1-9.</w:t>
      </w:r>
    </w:p>
    <w:p w:rsidR="00836DAE" w:rsidRPr="00765F5D" w:rsidRDefault="00836DAE" w:rsidP="00765F5D">
      <w:pPr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261A7F" w:rsidRPr="00765F5D" w:rsidRDefault="00261A7F" w:rsidP="00765F5D">
      <w:pPr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261A7F" w:rsidRPr="00765F5D" w:rsidRDefault="00261A7F" w:rsidP="00765F5D">
      <w:pPr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161BCF" w:rsidRPr="00765F5D" w:rsidRDefault="00161BCF" w:rsidP="00765F5D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4E6F64" w:rsidRPr="00765F5D" w:rsidRDefault="004E6F64" w:rsidP="00765F5D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4E6F64" w:rsidRPr="00765F5D" w:rsidRDefault="004E6F64" w:rsidP="00765F5D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sectPr w:rsidR="004E6F64" w:rsidRPr="00765F5D" w:rsidSect="00AD1C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7007"/>
    <w:multiLevelType w:val="multilevel"/>
    <w:tmpl w:val="04A0D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70DE2"/>
    <w:multiLevelType w:val="multilevel"/>
    <w:tmpl w:val="94BA1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A6B30"/>
    <w:multiLevelType w:val="multilevel"/>
    <w:tmpl w:val="984E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C545A"/>
    <w:multiLevelType w:val="multilevel"/>
    <w:tmpl w:val="6AE0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76FC7"/>
    <w:multiLevelType w:val="multilevel"/>
    <w:tmpl w:val="D4B82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0710D"/>
    <w:multiLevelType w:val="multilevel"/>
    <w:tmpl w:val="C5A2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C12512"/>
    <w:multiLevelType w:val="multilevel"/>
    <w:tmpl w:val="D6A4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83869"/>
    <w:multiLevelType w:val="multilevel"/>
    <w:tmpl w:val="A32E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671BA"/>
    <w:multiLevelType w:val="hybridMultilevel"/>
    <w:tmpl w:val="973E91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757A24"/>
    <w:multiLevelType w:val="multilevel"/>
    <w:tmpl w:val="F132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762B4C"/>
    <w:multiLevelType w:val="multilevel"/>
    <w:tmpl w:val="82C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A1400"/>
    <w:multiLevelType w:val="hybridMultilevel"/>
    <w:tmpl w:val="DFD0C3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BE26D9"/>
    <w:multiLevelType w:val="multilevel"/>
    <w:tmpl w:val="1046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F7543C"/>
    <w:multiLevelType w:val="multilevel"/>
    <w:tmpl w:val="ABC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211B11"/>
    <w:multiLevelType w:val="hybridMultilevel"/>
    <w:tmpl w:val="68446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642D3"/>
    <w:multiLevelType w:val="multilevel"/>
    <w:tmpl w:val="B6C4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E431B"/>
    <w:multiLevelType w:val="multilevel"/>
    <w:tmpl w:val="4008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426DCF"/>
    <w:multiLevelType w:val="multilevel"/>
    <w:tmpl w:val="DF067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6033E2"/>
    <w:multiLevelType w:val="multilevel"/>
    <w:tmpl w:val="482C3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5E66FD"/>
    <w:multiLevelType w:val="multilevel"/>
    <w:tmpl w:val="856C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871D76"/>
    <w:multiLevelType w:val="multilevel"/>
    <w:tmpl w:val="BFD2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083FFF"/>
    <w:multiLevelType w:val="multilevel"/>
    <w:tmpl w:val="B82E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531F8F"/>
    <w:multiLevelType w:val="multilevel"/>
    <w:tmpl w:val="F122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E15EDA"/>
    <w:multiLevelType w:val="multilevel"/>
    <w:tmpl w:val="15801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05A01"/>
    <w:multiLevelType w:val="multilevel"/>
    <w:tmpl w:val="3EB8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22365B"/>
    <w:multiLevelType w:val="multilevel"/>
    <w:tmpl w:val="E904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56097A"/>
    <w:multiLevelType w:val="multilevel"/>
    <w:tmpl w:val="62F6E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BB0517"/>
    <w:multiLevelType w:val="hybridMultilevel"/>
    <w:tmpl w:val="CC0C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A6FFA"/>
    <w:multiLevelType w:val="multilevel"/>
    <w:tmpl w:val="16C86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83374D"/>
    <w:multiLevelType w:val="multilevel"/>
    <w:tmpl w:val="A546D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344AEE"/>
    <w:multiLevelType w:val="multilevel"/>
    <w:tmpl w:val="98D00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26"/>
  </w:num>
  <w:num w:numId="4">
    <w:abstractNumId w:val="2"/>
  </w:num>
  <w:num w:numId="5">
    <w:abstractNumId w:val="0"/>
  </w:num>
  <w:num w:numId="6">
    <w:abstractNumId w:val="12"/>
  </w:num>
  <w:num w:numId="7">
    <w:abstractNumId w:val="23"/>
  </w:num>
  <w:num w:numId="8">
    <w:abstractNumId w:val="1"/>
  </w:num>
  <w:num w:numId="9">
    <w:abstractNumId w:val="9"/>
  </w:num>
  <w:num w:numId="10">
    <w:abstractNumId w:val="24"/>
  </w:num>
  <w:num w:numId="11">
    <w:abstractNumId w:val="30"/>
  </w:num>
  <w:num w:numId="12">
    <w:abstractNumId w:val="19"/>
  </w:num>
  <w:num w:numId="13">
    <w:abstractNumId w:val="18"/>
  </w:num>
  <w:num w:numId="14">
    <w:abstractNumId w:val="6"/>
  </w:num>
  <w:num w:numId="15">
    <w:abstractNumId w:val="7"/>
  </w:num>
  <w:num w:numId="16">
    <w:abstractNumId w:val="25"/>
  </w:num>
  <w:num w:numId="17">
    <w:abstractNumId w:val="16"/>
  </w:num>
  <w:num w:numId="18">
    <w:abstractNumId w:val="4"/>
  </w:num>
  <w:num w:numId="19">
    <w:abstractNumId w:val="13"/>
  </w:num>
  <w:num w:numId="20">
    <w:abstractNumId w:val="28"/>
  </w:num>
  <w:num w:numId="21">
    <w:abstractNumId w:val="5"/>
  </w:num>
  <w:num w:numId="22">
    <w:abstractNumId w:val="17"/>
  </w:num>
  <w:num w:numId="23">
    <w:abstractNumId w:val="21"/>
  </w:num>
  <w:num w:numId="24">
    <w:abstractNumId w:val="29"/>
  </w:num>
  <w:num w:numId="25">
    <w:abstractNumId w:val="14"/>
  </w:num>
  <w:num w:numId="26">
    <w:abstractNumId w:val="8"/>
  </w:num>
  <w:num w:numId="27">
    <w:abstractNumId w:val="11"/>
  </w:num>
  <w:num w:numId="28">
    <w:abstractNumId w:val="3"/>
  </w:num>
  <w:num w:numId="29">
    <w:abstractNumId w:val="2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C1"/>
    <w:rsid w:val="001434A3"/>
    <w:rsid w:val="00161BCF"/>
    <w:rsid w:val="00195C1A"/>
    <w:rsid w:val="00261A7F"/>
    <w:rsid w:val="002A0B89"/>
    <w:rsid w:val="0033642F"/>
    <w:rsid w:val="003A6182"/>
    <w:rsid w:val="004E6F64"/>
    <w:rsid w:val="0050417E"/>
    <w:rsid w:val="005C1C22"/>
    <w:rsid w:val="00754698"/>
    <w:rsid w:val="00765F5D"/>
    <w:rsid w:val="007D1DF6"/>
    <w:rsid w:val="00836DAE"/>
    <w:rsid w:val="0087547D"/>
    <w:rsid w:val="00910851"/>
    <w:rsid w:val="009426BD"/>
    <w:rsid w:val="00A06CFD"/>
    <w:rsid w:val="00AD1C65"/>
    <w:rsid w:val="00B42C44"/>
    <w:rsid w:val="00B82198"/>
    <w:rsid w:val="00C334C1"/>
    <w:rsid w:val="00C775A8"/>
    <w:rsid w:val="00CB3435"/>
    <w:rsid w:val="00D97996"/>
    <w:rsid w:val="00EF2260"/>
    <w:rsid w:val="00F0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8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1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261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8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1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261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Галина</cp:lastModifiedBy>
  <cp:revision>2</cp:revision>
  <dcterms:created xsi:type="dcterms:W3CDTF">2024-03-29T06:02:00Z</dcterms:created>
  <dcterms:modified xsi:type="dcterms:W3CDTF">2024-03-29T06:02:00Z</dcterms:modified>
</cp:coreProperties>
</file>