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7C" w:rsidRDefault="00921602">
      <w:r>
        <w:rPr>
          <w:noProof/>
          <w:lang w:eastAsia="ru-RU"/>
        </w:rPr>
        <w:drawing>
          <wp:inline distT="0" distB="0" distL="0" distR="0">
            <wp:extent cx="5940425" cy="9191792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02" w:rsidRDefault="00921602"/>
    <w:p w:rsidR="00921602" w:rsidRDefault="00921602" w:rsidP="0092160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921602" w:rsidRPr="00921602" w:rsidRDefault="00921602" w:rsidP="0092160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  <w:r w:rsidRPr="00921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Пояснительная записка</w:t>
      </w:r>
    </w:p>
    <w:p w:rsidR="00921602" w:rsidRPr="00921602" w:rsidRDefault="00921602" w:rsidP="0092160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Рабочая программа реализует идею </w:t>
      </w:r>
      <w:proofErr w:type="spell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межпредметных</w:t>
      </w:r>
      <w:proofErr w:type="spellEnd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связей при обучении культуре общения,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На современном этапе общественного развития повышения культуры поведения и общения молодежи – важнейшая задача. Программа внеурочной деятельности «Социальный и культурно-образовательный проект» формирует у учащихся, прежде всего, культуру устного общения.</w:t>
      </w:r>
    </w:p>
    <w:p w:rsidR="00921602" w:rsidRPr="00921602" w:rsidRDefault="00921602" w:rsidP="009216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602">
        <w:rPr>
          <w:rFonts w:ascii="Times New Roman" w:eastAsia="Calibri" w:hAnsi="Times New Roman" w:cs="Times New Roman"/>
          <w:sz w:val="28"/>
          <w:szCs w:val="28"/>
        </w:rPr>
        <w:t>Коммуникативное поведение личности формируется в процессе её индивидуального развития как члена определённой национально-культурной общности и представляет собой совокупность усвоенных путём подражания другим членам общества норм и традиций общения, а также включает сугубо индивидуальные нормы и традиции, сформировавшиеся в процессе индивидуальной практики человека, его личного опыта общения и взаимодействия с людьми.</w:t>
      </w:r>
    </w:p>
    <w:p w:rsidR="00921602" w:rsidRPr="00921602" w:rsidRDefault="00921602" w:rsidP="009216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602">
        <w:rPr>
          <w:rFonts w:ascii="Times New Roman" w:eastAsia="Calibri" w:hAnsi="Times New Roman" w:cs="Times New Roman"/>
          <w:sz w:val="28"/>
          <w:szCs w:val="28"/>
        </w:rPr>
        <w:t>Адекватное коммуникативное поведение – это такое коммуникативное поведение, которое соответствует принятым для определённого типа ситуации нормам и является эффективным. Таким образом, учащиеся должны освоить этикетные нормы общения (как надо? как принято?), правила и приёмы эффективного речевого воздействия (как лучше? как эффективней?).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Цель программы 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– формирование коммуникативной грамотности и культуры поведения и общения учащихся.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Коммуникативная грамотность предполагает </w:t>
      </w:r>
      <w:proofErr w:type="spell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сформированность</w:t>
      </w:r>
      <w:proofErr w:type="spellEnd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 учащихся: 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602">
        <w:rPr>
          <w:rFonts w:ascii="Times New Roman" w:eastAsia="Calibri" w:hAnsi="Times New Roman" w:cs="Times New Roman"/>
          <w:sz w:val="28"/>
          <w:szCs w:val="28"/>
        </w:rPr>
        <w:t>- устойчивых риторических навыков;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602">
        <w:rPr>
          <w:rFonts w:ascii="Times New Roman" w:eastAsia="Calibri" w:hAnsi="Times New Roman" w:cs="Times New Roman"/>
          <w:sz w:val="28"/>
          <w:szCs w:val="28"/>
        </w:rPr>
        <w:t>- устойчивых навыков культуры устной речи;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602">
        <w:rPr>
          <w:rFonts w:ascii="Times New Roman" w:eastAsia="Calibri" w:hAnsi="Times New Roman" w:cs="Times New Roman"/>
          <w:sz w:val="28"/>
          <w:szCs w:val="28"/>
        </w:rPr>
        <w:t>- навыков эффективного общения.</w:t>
      </w:r>
    </w:p>
    <w:p w:rsidR="00921602" w:rsidRPr="00921602" w:rsidRDefault="00921602" w:rsidP="00921602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Задачи: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1.Сформировать коммуникативную грамотность учащихся.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2.Сформировать у учащихся навык ответственного коммуникативного поведения, умение корректировать своё общение в зависимости от ситуации.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3.Вооружить учащихся знанием принятых в культурном обществе норм этикета поведения и общения, а также норм культуре речи.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4.Обучить учащихся основным правилам и приемам эффективного коммуникативного поведения в различных ситуациях.</w:t>
      </w: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• </w:t>
      </w:r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личностные: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921602" w:rsidRPr="00921602" w:rsidRDefault="00921602" w:rsidP="00921602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овладение навыками адаптации в различных жизненных ситуациях, </w:t>
      </w:r>
    </w:p>
    <w:p w:rsidR="00921602" w:rsidRPr="00921602" w:rsidRDefault="00921602" w:rsidP="00921602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развитие самостоятельности и личной ответственности за свои поступки;</w:t>
      </w:r>
    </w:p>
    <w:p w:rsidR="00921602" w:rsidRPr="00921602" w:rsidRDefault="00921602" w:rsidP="00921602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развитие этических чувств, доброжелательности и эмоционально-нравственной отзывчивости; </w:t>
      </w: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• </w:t>
      </w:r>
      <w:proofErr w:type="spellStart"/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метапредметные</w:t>
      </w:r>
      <w:proofErr w:type="spellEnd"/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: </w:t>
      </w:r>
    </w:p>
    <w:p w:rsidR="00921602" w:rsidRPr="00921602" w:rsidRDefault="00921602" w:rsidP="00921602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логическими действиями сравнения, анализа, обобщения, классификации; </w:t>
      </w:r>
    </w:p>
    <w:p w:rsidR="00921602" w:rsidRPr="00921602" w:rsidRDefault="00921602" w:rsidP="00921602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умением слушать собеседника, вести диалог и аргументировать свою точку зрения; </w:t>
      </w: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• предметные: 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учащиеся должны знать:</w:t>
      </w:r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Понятие этикет, этикет поведения, этикет внешнего вида, речевой этикет, этикетная ситуация, культурный человек, вежливость, коммуникативная роль, социальная роль, имидж, стиль одежды, языковой паспорт, адресат, адресант, жаргон, </w:t>
      </w:r>
      <w:proofErr w:type="spell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инвективная</w:t>
      </w:r>
      <w:proofErr w:type="spellEnd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лексика, спор, дебаты, дискуссия, полемика, прения, диспут;</w:t>
      </w:r>
      <w:proofErr w:type="gramEnd"/>
    </w:p>
    <w:p w:rsidR="00921602" w:rsidRPr="00921602" w:rsidRDefault="00921602" w:rsidP="0092160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учащиеся должны уметь: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- соблюдать общие нормы этикета: демонстрировать уважение и дружелюбие к собеседнику; изменять свое поведение в зависимости от ситуации;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- знать свой фактический имидж; знать, как тебя воспринимают окружающие по твоей внешности, манере одеваться, поведению, речи;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- производить положительное впечатление на собеседника своим внешним, коммуникативным и поведенческим имиджем;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проанализировать стиль одежды и внешность другого человека, оценить его с точки зрения соответствия требованиям моды и индивидуального стиля;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сформировать свой внешний стиль с учетом индивидуальных особенностей личности, типа внешности, требований этикета и моды и материальных возможностей;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анализировать языковой паспорт других и выявлять информацию языкового паспорта;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поддерживать в собственной речи благоприятный языковой паспорт;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находить в рамках изученного материала выход из трудных ситуаций русского речевого этикета и этикета поведения;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выявлять жаргонизмы и инвектив в речи собеседника;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обходиться без жаргонизмов и инвектив в собственной речевой практике;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- участвовать в дебатах по принятым правилам.</w:t>
      </w: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sectPr w:rsidR="00921602" w:rsidRPr="00921602" w:rsidSect="002F2B4F">
          <w:footerReference w:type="default" r:id="rId7"/>
          <w:pgSz w:w="11906" w:h="16838"/>
          <w:pgMar w:top="719" w:right="850" w:bottom="540" w:left="1080" w:header="708" w:footer="708" w:gutter="0"/>
          <w:pgNumType w:start="1"/>
          <w:cols w:space="708"/>
          <w:titlePg/>
          <w:docGrid w:linePitch="360"/>
        </w:sectPr>
      </w:pP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0"/>
          <w:lang w:eastAsia="ja-JP"/>
        </w:rPr>
        <w:lastRenderedPageBreak/>
        <w:t>Содержание учебного курса</w:t>
      </w: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ja-JP"/>
        </w:rPr>
      </w:pP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0"/>
          <w:lang w:eastAsia="ja-JP"/>
        </w:rPr>
        <w:t xml:space="preserve">Раздел 1.Понятие этикета. 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Этикет как совокупность правил «хорошего тона», принятых в обществе и устанавливающих порядок поведения и общения людей в тех или иных этикетных ситуациях. Основные функции этикета. Понятие </w:t>
      </w:r>
      <w:r w:rsidRPr="00921602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культурный человек. 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Понятие вежливости.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0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Речевой этикет, этикет внешнего вида и этикет поведения, их соотношение и неразрывная связь. Сферы действия и виды этикета.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0"/>
          <w:lang w:eastAsia="ja-JP"/>
        </w:rPr>
        <w:t>Раздел 2. История этикета.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Зарождение этикета в </w:t>
      </w:r>
      <w:proofErr w:type="spell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древности</w:t>
      </w:r>
      <w:proofErr w:type="gram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.В</w:t>
      </w:r>
      <w:proofErr w:type="gramEnd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озникновение</w:t>
      </w:r>
      <w:proofErr w:type="spellEnd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этикета на этапе осознания человеком себя членом определенного коллектива. Семейный этикет в </w:t>
      </w:r>
      <w:proofErr w:type="gram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первобытные</w:t>
      </w:r>
      <w:proofErr w:type="gramEnd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временна. Неравенство в семье, определяемое полом и возрастом ее членов. Этикетные обязанности древних людей по отношению к почитаемым ими богам, правителям. Этикет в античном обществе.</w:t>
      </w: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0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0"/>
          <w:lang w:eastAsia="ja-JP"/>
        </w:rPr>
        <w:t>Раздел 3.</w:t>
      </w:r>
      <w:r w:rsidRPr="00921602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Виды и принципы современного этикета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Этикет поведения, этикет внешнего вида и речевой этикет как составляющие современного этикета. Принципы этикета как основа общих норм этикета.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0"/>
          <w:lang w:eastAsia="ja-JP"/>
        </w:rPr>
        <w:t xml:space="preserve">Раздел 4. 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Английское происхождение слова </w:t>
      </w:r>
      <w:r w:rsidRPr="00921602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имидж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. Имидж как публичная индивидуальность. Имидж как образ, который человек выбирает, создает и сознательно поддерживает, используя для достижения своих целей в жизни.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>Возможные имиджи начальника, преподавателя, учителя, родителей – «строгий», «добрый», «справедливый», «бескомпромиссный», и т.д.</w:t>
      </w:r>
      <w:proofErr w:type="gramEnd"/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Три основные слагаемые имиджа – внешность, речь, поведение.   Формирование имиджа.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Раздел 5.</w:t>
      </w:r>
      <w:r w:rsidRPr="00921602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Этикет внешнего вида.</w:t>
      </w:r>
      <w:r w:rsidRPr="0092160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Законы моды и этикет. Структура этикета внешнего вида: одежда, прическа, силуэт, цветовая гамма. Соотношение этикета и моды. Функции одежды. Стиль как совокупность деталей внешнего вида, существующих в постоянном, одобряемом обществом единстве.</w:t>
      </w:r>
    </w:p>
    <w:p w:rsidR="00921602" w:rsidRPr="00921602" w:rsidRDefault="00921602" w:rsidP="0092160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0"/>
          <w:lang w:eastAsia="ja-JP"/>
        </w:rPr>
      </w:pP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0"/>
          <w:lang w:eastAsia="ja-JP"/>
        </w:rPr>
        <w:t>Тематическое планирование</w:t>
      </w: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8"/>
          <w:lang w:eastAsia="ja-JP"/>
        </w:rPr>
      </w:pPr>
    </w:p>
    <w:tbl>
      <w:tblPr>
        <w:tblW w:w="1463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8364"/>
        <w:gridCol w:w="1559"/>
        <w:gridCol w:w="3969"/>
      </w:tblGrid>
      <w:tr w:rsidR="00921602" w:rsidRPr="00921602" w:rsidTr="00C37F73">
        <w:trPr>
          <w:trHeight w:val="327"/>
        </w:trPr>
        <w:tc>
          <w:tcPr>
            <w:tcW w:w="146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</w:tr>
      <w:tr w:rsidR="00921602" w:rsidRPr="00921602" w:rsidTr="00C37F73">
        <w:trPr>
          <w:gridAfter w:val="1"/>
          <w:wAfter w:w="3969" w:type="dxa"/>
          <w:trHeight w:val="327"/>
        </w:trPr>
        <w:tc>
          <w:tcPr>
            <w:tcW w:w="747" w:type="dxa"/>
            <w:tcBorders>
              <w:top w:val="single" w:sz="4" w:space="0" w:color="000000"/>
            </w:tcBorders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№</w:t>
            </w:r>
          </w:p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proofErr w:type="gramStart"/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раз-дела</w:t>
            </w:r>
            <w:proofErr w:type="gramEnd"/>
          </w:p>
        </w:tc>
        <w:tc>
          <w:tcPr>
            <w:tcW w:w="8364" w:type="dxa"/>
            <w:tcBorders>
              <w:top w:val="single" w:sz="4" w:space="0" w:color="000000"/>
            </w:tcBorders>
          </w:tcPr>
          <w:p w:rsidR="00921602" w:rsidRPr="00921602" w:rsidRDefault="00921602" w:rsidP="00921602">
            <w:pPr>
              <w:spacing w:after="0" w:line="240" w:lineRule="auto"/>
              <w:ind w:right="-178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  <w:p w:rsidR="00921602" w:rsidRPr="00921602" w:rsidRDefault="00921602" w:rsidP="00921602">
            <w:pPr>
              <w:spacing w:after="0" w:line="240" w:lineRule="auto"/>
              <w:ind w:right="-178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Кол-во часов</w:t>
            </w:r>
          </w:p>
        </w:tc>
      </w:tr>
      <w:tr w:rsidR="00921602" w:rsidRPr="00921602" w:rsidTr="00C37F73">
        <w:trPr>
          <w:gridAfter w:val="1"/>
          <w:wAfter w:w="3969" w:type="dxa"/>
          <w:trHeight w:val="324"/>
        </w:trPr>
        <w:tc>
          <w:tcPr>
            <w:tcW w:w="747" w:type="dxa"/>
          </w:tcPr>
          <w:p w:rsidR="00921602" w:rsidRPr="00921602" w:rsidRDefault="00921602" w:rsidP="009216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8364" w:type="dxa"/>
          </w:tcPr>
          <w:p w:rsidR="00921602" w:rsidRPr="00921602" w:rsidRDefault="00921602" w:rsidP="009216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  <w:t>Понятие «этикет»</w:t>
            </w:r>
          </w:p>
        </w:tc>
        <w:tc>
          <w:tcPr>
            <w:tcW w:w="1559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</w:tr>
      <w:tr w:rsidR="00921602" w:rsidRPr="00921602" w:rsidTr="00C37F73">
        <w:trPr>
          <w:gridAfter w:val="1"/>
          <w:wAfter w:w="3969" w:type="dxa"/>
          <w:trHeight w:val="272"/>
        </w:trPr>
        <w:tc>
          <w:tcPr>
            <w:tcW w:w="747" w:type="dxa"/>
          </w:tcPr>
          <w:p w:rsidR="00921602" w:rsidRPr="00921602" w:rsidRDefault="00921602" w:rsidP="009216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8364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  <w:t>История этикета</w:t>
            </w:r>
          </w:p>
        </w:tc>
        <w:tc>
          <w:tcPr>
            <w:tcW w:w="1559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</w:t>
            </w:r>
          </w:p>
        </w:tc>
      </w:tr>
      <w:tr w:rsidR="00921602" w:rsidRPr="00921602" w:rsidTr="00C37F73">
        <w:trPr>
          <w:gridAfter w:val="1"/>
          <w:wAfter w:w="3969" w:type="dxa"/>
          <w:trHeight w:val="362"/>
        </w:trPr>
        <w:tc>
          <w:tcPr>
            <w:tcW w:w="747" w:type="dxa"/>
          </w:tcPr>
          <w:p w:rsidR="00921602" w:rsidRPr="00921602" w:rsidRDefault="00921602" w:rsidP="009216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8364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  <w:t>Виды и принципы современного этикета</w:t>
            </w:r>
          </w:p>
        </w:tc>
        <w:tc>
          <w:tcPr>
            <w:tcW w:w="1559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</w:tr>
      <w:tr w:rsidR="00921602" w:rsidRPr="00921602" w:rsidTr="00C37F73">
        <w:trPr>
          <w:gridAfter w:val="1"/>
          <w:wAfter w:w="3969" w:type="dxa"/>
          <w:trHeight w:val="282"/>
        </w:trPr>
        <w:tc>
          <w:tcPr>
            <w:tcW w:w="747" w:type="dxa"/>
          </w:tcPr>
          <w:p w:rsidR="00921602" w:rsidRPr="00921602" w:rsidRDefault="00921602" w:rsidP="009216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8364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  <w:t>Понятие имиджа</w:t>
            </w:r>
          </w:p>
        </w:tc>
        <w:tc>
          <w:tcPr>
            <w:tcW w:w="1559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921602" w:rsidRPr="00921602" w:rsidTr="00C37F73">
        <w:trPr>
          <w:gridAfter w:val="1"/>
          <w:wAfter w:w="3969" w:type="dxa"/>
          <w:trHeight w:val="320"/>
        </w:trPr>
        <w:tc>
          <w:tcPr>
            <w:tcW w:w="747" w:type="dxa"/>
          </w:tcPr>
          <w:p w:rsidR="00921602" w:rsidRPr="00921602" w:rsidRDefault="00921602" w:rsidP="009216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8364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ja-JP"/>
              </w:rPr>
              <w:t>Этикет внешнего вида</w:t>
            </w:r>
          </w:p>
        </w:tc>
        <w:tc>
          <w:tcPr>
            <w:tcW w:w="1559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</w:p>
        </w:tc>
      </w:tr>
      <w:tr w:rsidR="00921602" w:rsidRPr="00921602" w:rsidTr="00C37F73">
        <w:trPr>
          <w:gridAfter w:val="1"/>
          <w:wAfter w:w="3969" w:type="dxa"/>
          <w:trHeight w:val="320"/>
        </w:trPr>
        <w:tc>
          <w:tcPr>
            <w:tcW w:w="747" w:type="dxa"/>
          </w:tcPr>
          <w:p w:rsidR="00921602" w:rsidRPr="00921602" w:rsidRDefault="00921602" w:rsidP="009216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8364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Итого:</w:t>
            </w:r>
          </w:p>
        </w:tc>
        <w:tc>
          <w:tcPr>
            <w:tcW w:w="1559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34</w:t>
            </w:r>
          </w:p>
        </w:tc>
      </w:tr>
    </w:tbl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</w:rPr>
      </w:pP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</w:rPr>
      </w:pP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</w:rPr>
      </w:pP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</w:rPr>
      </w:pP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0"/>
        </w:rPr>
      </w:pPr>
    </w:p>
    <w:p w:rsidR="00921602" w:rsidRPr="00921602" w:rsidRDefault="00921602" w:rsidP="009216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28"/>
          <w:lang w:eastAsia="ja-JP"/>
        </w:rPr>
      </w:pPr>
      <w:r w:rsidRPr="00921602">
        <w:rPr>
          <w:rFonts w:ascii="Times New Roman" w:eastAsia="MS Mincho" w:hAnsi="Times New Roman" w:cs="Times New Roman"/>
          <w:b/>
          <w:sz w:val="28"/>
          <w:szCs w:val="20"/>
        </w:rPr>
        <w:t>Тематический поурочный план</w:t>
      </w:r>
    </w:p>
    <w:tbl>
      <w:tblPr>
        <w:tblpPr w:leftFromText="181" w:rightFromText="181" w:vertAnchor="text" w:horzAnchor="margin" w:tblpY="3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708"/>
      </w:tblGrid>
      <w:tr w:rsidR="00921602" w:rsidRPr="00921602" w:rsidTr="00C37F73">
        <w:trPr>
          <w:trHeight w:val="38"/>
        </w:trPr>
        <w:tc>
          <w:tcPr>
            <w:tcW w:w="959" w:type="dxa"/>
            <w:vAlign w:val="center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№</w:t>
            </w:r>
          </w:p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8647" w:type="dxa"/>
            <w:vAlign w:val="center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Тема занятия</w:t>
            </w:r>
          </w:p>
        </w:tc>
        <w:tc>
          <w:tcPr>
            <w:tcW w:w="708" w:type="dxa"/>
            <w:vAlign w:val="center"/>
          </w:tcPr>
          <w:p w:rsidR="00921602" w:rsidRPr="00921602" w:rsidRDefault="00921602" w:rsidP="00921602">
            <w:pPr>
              <w:spacing w:after="0" w:line="240" w:lineRule="auto"/>
              <w:ind w:right="-79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Дата</w:t>
            </w:r>
          </w:p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проведения</w:t>
            </w:r>
          </w:p>
        </w:tc>
      </w:tr>
      <w:tr w:rsidR="00921602" w:rsidRPr="00921602" w:rsidTr="00C37F73">
        <w:trPr>
          <w:trHeight w:val="38"/>
        </w:trPr>
        <w:tc>
          <w:tcPr>
            <w:tcW w:w="10314" w:type="dxa"/>
            <w:gridSpan w:val="3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Раздел</w:t>
            </w:r>
            <w:proofErr w:type="gramStart"/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1</w:t>
            </w:r>
            <w:proofErr w:type="gramEnd"/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.Понятие «этикет»(5ч)</w:t>
            </w: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этикет? </w:t>
            </w:r>
          </w:p>
        </w:tc>
        <w:tc>
          <w:tcPr>
            <w:tcW w:w="708" w:type="dxa"/>
            <w:vMerge w:val="restart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Функции и значение этикета.</w:t>
            </w:r>
          </w:p>
        </w:tc>
        <w:tc>
          <w:tcPr>
            <w:tcW w:w="708" w:type="dxa"/>
            <w:vMerge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Функции и значение этикета.</w:t>
            </w:r>
          </w:p>
        </w:tc>
        <w:tc>
          <w:tcPr>
            <w:tcW w:w="708" w:type="dxa"/>
            <w:vMerge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человек – это…</w:t>
            </w:r>
          </w:p>
        </w:tc>
        <w:tc>
          <w:tcPr>
            <w:tcW w:w="708" w:type="dxa"/>
            <w:vMerge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Культурный человек – это…</w:t>
            </w:r>
          </w:p>
        </w:tc>
        <w:tc>
          <w:tcPr>
            <w:tcW w:w="708" w:type="dxa"/>
            <w:vMerge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10314" w:type="dxa"/>
            <w:gridSpan w:val="3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Раздел 2.История этикета(10ч)</w:t>
            </w:r>
          </w:p>
        </w:tc>
      </w:tr>
      <w:tr w:rsidR="00921602" w:rsidRPr="00921602" w:rsidTr="00C37F73">
        <w:trPr>
          <w:trHeight w:val="374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Зарождение этикета в древности. 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74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Зарождение этикета в древности.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Этикет античности.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Этикет античности.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Этикет эпохи Средневековья. 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Этикет эпохи Возрождения.   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Восточный и западный этикет: сходства и различия.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Восточный и западный этикет: сходства и различия.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Становление этикетных норм в России (16-20 вв.). 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 этикетных норм в России (16-20 вв.).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10314" w:type="dxa"/>
            <w:gridSpan w:val="3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Раздел 3.Виды и принципы современного этикета(8ч)</w:t>
            </w: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современного этикета. 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Виды современного этикета.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современного этикета.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современного этикета.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18.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Этикет поведения в общественных местах.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Этикет поведения в общественных местах.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Этикет поведения в театре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Этикет поведения в театре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10314" w:type="dxa"/>
            <w:gridSpan w:val="3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Раздел 4.Понятие имиджа(6ч)</w:t>
            </w: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22.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Понятие имиджа.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Понятие имиджа.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24.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имиджа.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имиджа.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26.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Имидж современного школьника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28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Имидж современного школьника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10314" w:type="dxa"/>
            <w:gridSpan w:val="3"/>
          </w:tcPr>
          <w:p w:rsidR="00921602" w:rsidRPr="00921602" w:rsidRDefault="00921602" w:rsidP="0092160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Раздел 5.Этикет внешнего вида – (6ч)</w:t>
            </w: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Законы моды и этикет. 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Законы моды и этикет.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31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мода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32.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Мода и индивидуальный стиль. 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33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Что значит быть стильным?</w:t>
            </w:r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921602" w:rsidRPr="00921602" w:rsidTr="00C37F73">
        <w:trPr>
          <w:trHeight w:val="38"/>
        </w:trPr>
        <w:tc>
          <w:tcPr>
            <w:tcW w:w="959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21602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34.</w:t>
            </w:r>
          </w:p>
        </w:tc>
        <w:tc>
          <w:tcPr>
            <w:tcW w:w="8647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 w:rsidRPr="00921602">
              <w:rPr>
                <w:rFonts w:ascii="Times New Roman" w:eastAsia="Calibri" w:hAnsi="Times New Roman" w:cs="Times New Roman"/>
                <w:sz w:val="28"/>
                <w:szCs w:val="28"/>
              </w:rPr>
              <w:t>пректов</w:t>
            </w:r>
            <w:proofErr w:type="spellEnd"/>
          </w:p>
        </w:tc>
        <w:tc>
          <w:tcPr>
            <w:tcW w:w="708" w:type="dxa"/>
          </w:tcPr>
          <w:p w:rsidR="00921602" w:rsidRPr="00921602" w:rsidRDefault="00921602" w:rsidP="009216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21602" w:rsidRPr="00921602" w:rsidRDefault="00921602" w:rsidP="0092160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21602" w:rsidRDefault="00921602"/>
    <w:sectPr w:rsidR="0092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4F" w:rsidRDefault="009216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F2B4F" w:rsidRDefault="0092160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5053"/>
    <w:multiLevelType w:val="hybridMultilevel"/>
    <w:tmpl w:val="AD1A3494"/>
    <w:lvl w:ilvl="0" w:tplc="47C25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1A73"/>
    <w:multiLevelType w:val="hybridMultilevel"/>
    <w:tmpl w:val="C9124D5A"/>
    <w:lvl w:ilvl="0" w:tplc="47C25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02"/>
    <w:rsid w:val="00921602"/>
    <w:rsid w:val="009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0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21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6">
    <w:name w:val="Нижний колонтитул Знак"/>
    <w:basedOn w:val="a0"/>
    <w:link w:val="a5"/>
    <w:uiPriority w:val="99"/>
    <w:rsid w:val="00921602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0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21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6">
    <w:name w:val="Нижний колонтитул Знак"/>
    <w:basedOn w:val="a0"/>
    <w:link w:val="a5"/>
    <w:uiPriority w:val="99"/>
    <w:rsid w:val="00921602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2022-11-04T04:59:00Z</dcterms:created>
  <dcterms:modified xsi:type="dcterms:W3CDTF">2022-11-04T05:01:00Z</dcterms:modified>
</cp:coreProperties>
</file>