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5"/>
          <w:sz w:val="24"/>
        </w:rPr>
      </w:pPr>
      <w:r>
        <w:drawing>
          <wp:inline>
            <wp:extent cx="5943600" cy="839724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43600" cy="8397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5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5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5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Пояснительная записка</w:t>
      </w:r>
    </w:p>
    <w:p w14:paraId="0B000000">
      <w:pPr>
        <w:spacing w:after="0" w:line="240" w:lineRule="auto"/>
        <w:ind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 </w:t>
      </w:r>
    </w:p>
    <w:p w14:paraId="0C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Необходимость разработки данного курса обусловлена запросами учеников и их законных представителей в осмыслении и понимании наиболее сложных и дискуссионных вопросов права. </w:t>
      </w:r>
    </w:p>
    <w:p w14:paraId="0D000000">
      <w:pPr>
        <w:tabs>
          <w:tab w:leader="none" w:pos="1147" w:val="left"/>
        </w:tabs>
        <w:spacing w:after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курса «Право (Практикум)» составлена на основе авторской программы Е.А. Певцовой «Право. Основы правовой культуры» для 10-11 классов базового и углубленного уровней.  </w:t>
      </w:r>
    </w:p>
    <w:p w14:paraId="0E000000">
      <w:pPr>
        <w:tabs>
          <w:tab w:leader="none" w:pos="1147" w:val="left"/>
        </w:tabs>
        <w:spacing w:after="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рабочей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используется </w:t>
      </w:r>
      <w:r>
        <w:rPr>
          <w:rFonts w:ascii="Times New Roman" w:hAnsi="Times New Roman"/>
          <w:sz w:val="24"/>
        </w:rPr>
        <w:t>учебно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методический комплект:</w:t>
      </w:r>
    </w:p>
    <w:p w14:paraId="0F000000">
      <w:pPr>
        <w:pStyle w:val="Style_2"/>
        <w:ind w:firstLine="0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Певцова Е.А. Право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сновы правовой культуры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чебник для</w:t>
      </w:r>
      <w:r>
        <w:rPr>
          <w:sz w:val="24"/>
        </w:rPr>
        <w:t xml:space="preserve"> </w:t>
      </w:r>
      <w:r>
        <w:rPr>
          <w:sz w:val="24"/>
        </w:rPr>
        <w:t>11 класс</w:t>
      </w:r>
      <w:r>
        <w:rPr>
          <w:sz w:val="24"/>
        </w:rPr>
        <w:t>а</w:t>
      </w:r>
      <w:r>
        <w:rPr>
          <w:sz w:val="24"/>
        </w:rPr>
        <w:t xml:space="preserve"> общеобразовательных организаций. Базовый и углубленный уровни; в 2 частях</w:t>
      </w:r>
      <w:r>
        <w:rPr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 xml:space="preserve"> </w:t>
      </w:r>
      <w:r>
        <w:rPr>
          <w:sz w:val="24"/>
        </w:rPr>
        <w:t>Е.А. Певцова. – М.: ООО «Русское слово – учебник», 2018.</w:t>
      </w:r>
    </w:p>
    <w:p w14:paraId="10000000">
      <w:pPr>
        <w:pStyle w:val="Style_2"/>
        <w:ind w:firstLine="0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Сапогов В.М. Методическое пособие к учебнику Е.А. Певцовой «Право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сновы правовой культуры» для 11 класса общеобразовательных организаций. Базовый и углубленный уровни/В.М. Сапогов. – М.: ООО «Русское слово – учебник», 2021.</w:t>
      </w:r>
    </w:p>
    <w:p w14:paraId="11000000">
      <w:pPr>
        <w:pStyle w:val="Style_2"/>
        <w:ind w:firstLine="0" w:left="0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</w:rPr>
        <w:t xml:space="preserve">лективный курс </w:t>
      </w:r>
      <w:r>
        <w:rPr>
          <w:sz w:val="24"/>
        </w:rPr>
        <w:t>безоценочный</w:t>
      </w:r>
      <w:r>
        <w:rPr>
          <w:sz w:val="24"/>
        </w:rPr>
        <w:t xml:space="preserve">, большее внимания </w:t>
      </w:r>
      <w:r>
        <w:rPr>
          <w:sz w:val="24"/>
        </w:rPr>
        <w:t>уделяется</w:t>
      </w:r>
      <w:r>
        <w:rPr>
          <w:sz w:val="24"/>
        </w:rPr>
        <w:t xml:space="preserve"> изучени</w:t>
      </w:r>
      <w:r>
        <w:rPr>
          <w:sz w:val="24"/>
        </w:rPr>
        <w:t>ю</w:t>
      </w:r>
      <w:r>
        <w:rPr>
          <w:sz w:val="24"/>
        </w:rPr>
        <w:t xml:space="preserve"> нормативно-правовых актов, решению тестовых заданий, анализу таблиц, схем, составлению кроссвордов, подготовке докладов и рефератов, написанию планов и мини сочинений по теме курса.</w:t>
      </w:r>
    </w:p>
    <w:p w14:paraId="12000000">
      <w:pPr>
        <w:spacing w:after="0" w:line="360" w:lineRule="atLeast"/>
        <w:ind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color w:val="111115"/>
          <w:sz w:val="24"/>
        </w:rPr>
        <w:t>В 11 классе – 34 часа (из расчёта 1 час в неделю).</w:t>
      </w:r>
    </w:p>
    <w:p w14:paraId="13000000">
      <w:pPr>
        <w:spacing w:after="0" w:line="360" w:lineRule="atLeast"/>
        <w:ind/>
        <w:jc w:val="both"/>
        <w:rPr>
          <w:rFonts w:ascii="Times New Roman" w:hAnsi="Times New Roman"/>
          <w:color w:val="111115"/>
          <w:sz w:val="24"/>
        </w:rPr>
      </w:pPr>
    </w:p>
    <w:p w14:paraId="14000000">
      <w:pPr>
        <w:spacing w:afterAutospacing="on" w:line="240" w:lineRule="auto"/>
        <w:ind w:firstLine="0" w:left="993"/>
        <w:jc w:val="both"/>
        <w:rPr>
          <w:rFonts w:ascii="Times New Roman" w:hAnsi="Times New Roman"/>
          <w:b w:val="1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Планируемые результ</w:t>
      </w:r>
      <w:r>
        <w:rPr>
          <w:rFonts w:ascii="Times New Roman" w:hAnsi="Times New Roman"/>
          <w:b w:val="1"/>
          <w:color w:val="111115"/>
          <w:sz w:val="24"/>
        </w:rPr>
        <w:t xml:space="preserve">аты освоения элективного </w:t>
      </w:r>
      <w:r>
        <w:rPr>
          <w:rFonts w:ascii="Times New Roman" w:hAnsi="Times New Roman"/>
          <w:b w:val="1"/>
          <w:color w:val="111115"/>
          <w:sz w:val="24"/>
        </w:rPr>
        <w:t>курса</w:t>
      </w:r>
    </w:p>
    <w:p w14:paraId="15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В соответствии с Федеральным государственным образовательным стандартом сре</w:t>
      </w:r>
      <w:r>
        <w:rPr>
          <w:rFonts w:ascii="Times New Roman" w:hAnsi="Times New Roman"/>
          <w:color w:val="111115"/>
          <w:sz w:val="24"/>
        </w:rPr>
        <w:t>днего общего образования (10-11</w:t>
      </w:r>
      <w:r>
        <w:rPr>
          <w:rFonts w:ascii="Times New Roman" w:hAnsi="Times New Roman"/>
          <w:color w:val="111115"/>
          <w:sz w:val="24"/>
        </w:rPr>
        <w:t>кл.) освоение курса по выбору «Право (практикум)» предполагает достижение личностных, метапредметных и предметных результатов.</w:t>
      </w:r>
    </w:p>
    <w:p w14:paraId="16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Личностные результаты</w:t>
      </w:r>
      <w:r>
        <w:rPr>
          <w:rFonts w:ascii="Times New Roman" w:hAnsi="Times New Roman"/>
          <w:color w:val="111115"/>
          <w:sz w:val="24"/>
        </w:rPr>
        <w:t> освоения учебного курса включают в себя:</w:t>
      </w:r>
    </w:p>
    <w:p w14:paraId="17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готовность и способность к познавательной деятельности в соответствующей юридической сфере, включая умение оценивать характерную для данной сферы правовую информацию;</w:t>
      </w:r>
    </w:p>
    <w:p w14:paraId="18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способность к использованию приобретенных знаний и умений для оценки происходящих в частноправовой сфере событий и поведения людей с юридической точки зрения;</w:t>
      </w:r>
    </w:p>
    <w:p w14:paraId="19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способность и готовность к самостоятельному поиску методов решения практических задач, связанных с повседневными жизненными ситуациями, применению различных методов познания;</w:t>
      </w:r>
    </w:p>
    <w:p w14:paraId="1A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умение логически мыслить, ясно и последовательно излагать свои мысли в письменной и устной речи;</w:t>
      </w:r>
    </w:p>
    <w:p w14:paraId="1B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использование приобретенных знаний для осуществления возможности осознанного выбора будущей юридической специализации.</w:t>
      </w:r>
    </w:p>
    <w:p w14:paraId="1C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Предметные результаты</w:t>
      </w:r>
      <w:r>
        <w:rPr>
          <w:rFonts w:ascii="Times New Roman" w:hAnsi="Times New Roman"/>
          <w:color w:val="111115"/>
          <w:sz w:val="24"/>
        </w:rPr>
        <w:t> освоения учебного курса включают в себя:</w:t>
      </w:r>
    </w:p>
    <w:p w14:paraId="1D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базовые навыки составления основных правовых документов;</w:t>
      </w:r>
    </w:p>
    <w:p w14:paraId="1E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умение вести анализировать предлагаемые ситуации на предмет юридически значимых фактов;</w:t>
      </w:r>
    </w:p>
    <w:p w14:paraId="1F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- овладение юридической терминологией; навыками анализа предписаний правовых актов, зачастую выраженных очень кратко, но имеющих сложное содержание, которое постоянно обогащается и оспаривается как в правоприменительной практике, так </w:t>
      </w:r>
      <w:r>
        <w:rPr>
          <w:rFonts w:ascii="Times New Roman" w:hAnsi="Times New Roman"/>
          <w:color w:val="111115"/>
          <w:sz w:val="24"/>
        </w:rPr>
        <w:t>и в литературе, установления оснований возникновения и содержания правовых отношений, являющихся объектами профессиональной деятельности;</w:t>
      </w:r>
    </w:p>
    <w:p w14:paraId="20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знание методических приемов выработки и доказательной аргументации собственной позиции, принятия и обоснования решений правовых задач, состоящих в применении права для определения особенностей конкретных правовых ситуаций.</w:t>
      </w:r>
    </w:p>
    <w:p w14:paraId="21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Метапредметные результаты</w:t>
      </w:r>
      <w:r>
        <w:rPr>
          <w:rFonts w:ascii="Times New Roman" w:hAnsi="Times New Roman"/>
          <w:color w:val="111115"/>
          <w:sz w:val="24"/>
        </w:rPr>
        <w:t> освоения учебного курса включают в себя:</w:t>
      </w:r>
    </w:p>
    <w:p w14:paraId="22000000">
      <w:pPr>
        <w:spacing w:after="0" w:line="304" w:lineRule="atLeast"/>
        <w:ind w:firstLine="709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совершенствование собственной познавательной деятельности, овладение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достижения;</w:t>
      </w:r>
    </w:p>
    <w:p w14:paraId="23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готовность и способность к самостоятельной информационно-познавательной деятельности, включая умение критически оценивать и интерпретировать информацию, использовать ее для решения практических и аналитических задач;</w:t>
      </w:r>
    </w:p>
    <w:p w14:paraId="24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умение самостоятельно определять цели деятельности и составлять планы деятельности; контролировать и корректировать деятельность;</w:t>
      </w:r>
    </w:p>
    <w:p w14:paraId="25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использовать возможные ресурсы и методы для достижения поставленных целей и реализации планов деятельности; выбирать успешные стратегии в различных ситуациях;</w:t>
      </w:r>
    </w:p>
    <w:p w14:paraId="26000000">
      <w:pPr>
        <w:spacing w:after="0" w:line="304" w:lineRule="atLeast"/>
        <w:ind w:firstLine="720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норм информационной безопасности.</w:t>
      </w:r>
    </w:p>
    <w:p w14:paraId="27000000">
      <w:pPr>
        <w:spacing w:after="0"/>
        <w:ind w:firstLine="720" w:left="0"/>
        <w:jc w:val="both"/>
        <w:rPr>
          <w:rFonts w:ascii="Times New Roman" w:hAnsi="Times New Roman"/>
          <w:color w:val="111115"/>
          <w:sz w:val="24"/>
        </w:rPr>
      </w:pPr>
    </w:p>
    <w:p w14:paraId="28000000">
      <w:pPr>
        <w:spacing w:after="0"/>
        <w:ind w:firstLine="709" w:left="0"/>
        <w:jc w:val="both"/>
        <w:rPr>
          <w:rFonts w:ascii="Times New Roman" w:hAnsi="Times New Roman"/>
          <w:b w:val="1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Содержание курс</w:t>
      </w:r>
      <w:r>
        <w:rPr>
          <w:rFonts w:ascii="Times New Roman" w:hAnsi="Times New Roman"/>
          <w:b w:val="1"/>
          <w:color w:val="111115"/>
          <w:sz w:val="24"/>
        </w:rPr>
        <w:t>а</w:t>
      </w:r>
    </w:p>
    <w:p w14:paraId="29000000">
      <w:pPr>
        <w:spacing w:after="0"/>
        <w:ind w:firstLine="709" w:left="0"/>
        <w:jc w:val="both"/>
        <w:rPr>
          <w:rFonts w:ascii="Times New Roman" w:hAnsi="Times New Roman"/>
          <w:b w:val="1"/>
          <w:color w:val="111115"/>
          <w:sz w:val="24"/>
        </w:rPr>
      </w:pPr>
    </w:p>
    <w:p w14:paraId="2A000000">
      <w:pPr>
        <w:spacing w:after="0"/>
        <w:ind w:firstLine="709" w:left="0"/>
        <w:jc w:val="both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 </w:t>
      </w:r>
      <w:r>
        <w:rPr>
          <w:rFonts w:ascii="Times New Roman" w:hAnsi="Times New Roman"/>
          <w:b w:val="1"/>
          <w:i w:val="1"/>
          <w:color w:val="111115"/>
          <w:sz w:val="24"/>
        </w:rPr>
        <w:t>Введение</w:t>
      </w:r>
    </w:p>
    <w:p w14:paraId="2B000000">
      <w:pPr>
        <w:spacing w:after="0"/>
        <w:ind w:firstLine="709" w:left="0"/>
        <w:jc w:val="both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Гражданское право </w:t>
      </w:r>
    </w:p>
    <w:p w14:paraId="2C000000">
      <w:pPr>
        <w:spacing w:after="0"/>
        <w:ind w:firstLine="709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Субъекты гражданского права. Гражданский Кодекс РФ. Организационно- правовые формы и правовой режим предпринимательской деятельности.    Имущественные и неимущественные права.  Обязательственное право.   Право на благоприятную окружающую среду и способы его защиты (Статья 42 Конституции РФ).   </w:t>
      </w:r>
    </w:p>
    <w:p w14:paraId="2D000000">
      <w:pPr>
        <w:spacing w:after="0"/>
        <w:ind w:firstLine="709" w:left="0"/>
        <w:jc w:val="both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 xml:space="preserve">Налоговое право </w:t>
      </w:r>
    </w:p>
    <w:p w14:paraId="2E000000">
      <w:pPr>
        <w:spacing w:after="0"/>
        <w:ind w:firstLine="709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Налоговое право. Налоговые органы. Аудит (Налоговый кодекс РФ). Виды налогов. Права и обязанности налогоплательщика.</w:t>
      </w:r>
    </w:p>
    <w:p w14:paraId="2F000000">
      <w:pPr>
        <w:spacing w:after="0"/>
        <w:ind w:firstLine="709" w:left="0"/>
        <w:jc w:val="both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Семейное право  </w:t>
      </w:r>
    </w:p>
    <w:p w14:paraId="30000000">
      <w:pPr>
        <w:spacing w:after="0"/>
        <w:ind w:firstLine="709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Правовое регулирование отношений супругов. Порядок и условия заключения и расторжения брака. Личные права и обязанности супругов (Глава 6 Семейного Кодекса РФ). Имущественные права и обязанности супругов. Расторжение брака.</w:t>
      </w:r>
    </w:p>
    <w:p w14:paraId="31000000">
      <w:pPr>
        <w:spacing w:after="0"/>
        <w:ind w:firstLine="709" w:left="0"/>
        <w:jc w:val="both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 xml:space="preserve">Трудовое право </w:t>
      </w:r>
    </w:p>
    <w:p w14:paraId="32000000">
      <w:pPr>
        <w:spacing w:after="0"/>
        <w:ind w:firstLine="709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Понятие и источники трудового права (Конституция РФ, Трудовой Кодекс РФ, федеральные законы). Коллективный договор. Трудовой договор. Рабочее время и время отдыха. Порядок приёма на работу. Порядок заключения и расторжения</w:t>
      </w:r>
      <w:r>
        <w:rPr>
          <w:rFonts w:ascii="Times New Roman" w:hAnsi="Times New Roman"/>
          <w:color w:val="111115"/>
          <w:sz w:val="24"/>
        </w:rPr>
        <w:t xml:space="preserve"> </w:t>
      </w:r>
      <w:r>
        <w:rPr>
          <w:rFonts w:ascii="Times New Roman" w:hAnsi="Times New Roman"/>
          <w:color w:val="111115"/>
          <w:sz w:val="24"/>
        </w:rPr>
        <w:t>трудового договора. Оплата труда. Охрана труда. Трудовые споры. Ответственность по трудовому праву.</w:t>
      </w:r>
    </w:p>
    <w:p w14:paraId="33000000">
      <w:pPr>
        <w:spacing w:after="0"/>
        <w:ind w:firstLine="709" w:left="0"/>
        <w:jc w:val="both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 xml:space="preserve">Административное право </w:t>
      </w:r>
    </w:p>
    <w:p w14:paraId="34000000">
      <w:pPr>
        <w:spacing w:after="0"/>
        <w:ind w:firstLine="709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 xml:space="preserve">Понятие и источники административного права. Административные правонарушения (Конституция РФ, Кодекс РФ об административных правонарушениях, </w:t>
      </w:r>
      <w:r>
        <w:rPr>
          <w:rFonts w:ascii="Times New Roman" w:hAnsi="Times New Roman"/>
          <w:color w:val="111115"/>
          <w:sz w:val="24"/>
        </w:rPr>
        <w:t>таможенный Кодекс РФ, федеральные законы, з0аконы субъектов РФ, указы Президента РФ, и пр.). Особенности административной юрисдикции. Особенности административной юрисдикции.</w:t>
      </w:r>
    </w:p>
    <w:p w14:paraId="35000000">
      <w:pPr>
        <w:spacing w:after="0"/>
        <w:ind w:firstLine="709" w:left="0"/>
        <w:jc w:val="both"/>
        <w:rPr>
          <w:rFonts w:ascii="Times New Roman" w:hAnsi="Times New Roman"/>
          <w:b w:val="1"/>
          <w:i w:val="1"/>
          <w:color w:val="111115"/>
          <w:sz w:val="24"/>
        </w:rPr>
      </w:pPr>
      <w:r>
        <w:rPr>
          <w:rFonts w:ascii="Times New Roman" w:hAnsi="Times New Roman"/>
          <w:b w:val="1"/>
          <w:i w:val="1"/>
          <w:color w:val="111115"/>
          <w:sz w:val="24"/>
        </w:rPr>
        <w:t>Уголовное право, ос</w:t>
      </w:r>
      <w:r>
        <w:rPr>
          <w:rFonts w:ascii="Times New Roman" w:hAnsi="Times New Roman"/>
          <w:b w:val="1"/>
          <w:i w:val="1"/>
          <w:color w:val="111115"/>
          <w:sz w:val="24"/>
        </w:rPr>
        <w:t xml:space="preserve">новы судопроизводства </w:t>
      </w:r>
      <w:r>
        <w:rPr>
          <w:rFonts w:ascii="Times New Roman" w:hAnsi="Times New Roman"/>
          <w:b w:val="1"/>
          <w:i w:val="1"/>
          <w:color w:val="111115"/>
          <w:sz w:val="24"/>
        </w:rPr>
        <w:t> </w:t>
      </w:r>
    </w:p>
    <w:p w14:paraId="36000000">
      <w:pPr>
        <w:spacing w:after="0"/>
        <w:ind w:firstLine="709" w:left="0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Понятие и источники уголовного права (Уголовный Кодекс РФ).  Споры, порядок их рассмотрения. Составные части судебного разбирательства.   Основные правила и принципы гражданского процесса.    Особенности уголовного процесса.    Гражданство РФ, общие принципы российского гражданства (Конституция РФ, ФЗ от 2002 г. «О гражданстве РФ.   Воинская обязанность, альтернативная гражданская служба</w:t>
      </w:r>
    </w:p>
    <w:p w14:paraId="37000000">
      <w:pPr>
        <w:spacing w:after="0"/>
        <w:ind w:firstLine="720" w:left="0"/>
        <w:jc w:val="both"/>
        <w:rPr>
          <w:rFonts w:ascii="Times New Roman" w:hAnsi="Times New Roman"/>
          <w:color w:val="111115"/>
          <w:sz w:val="24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5"/>
          <w:sz w:val="24"/>
        </w:rPr>
      </w:pPr>
      <w:r>
        <w:rPr>
          <w:rFonts w:ascii="Times New Roman" w:hAnsi="Times New Roman"/>
          <w:b w:val="1"/>
          <w:color w:val="111115"/>
          <w:sz w:val="24"/>
        </w:rPr>
        <w:t>Т</w:t>
      </w:r>
      <w:r>
        <w:rPr>
          <w:rFonts w:ascii="Times New Roman" w:hAnsi="Times New Roman"/>
          <w:b w:val="1"/>
          <w:color w:val="111115"/>
          <w:sz w:val="24"/>
        </w:rPr>
        <w:t>ематическое</w:t>
      </w:r>
      <w:r>
        <w:rPr>
          <w:rFonts w:ascii="Times New Roman" w:hAnsi="Times New Roman"/>
          <w:b w:val="1"/>
          <w:color w:val="111115"/>
          <w:sz w:val="24"/>
        </w:rPr>
        <w:t xml:space="preserve"> поурочное </w:t>
      </w:r>
      <w:r>
        <w:rPr>
          <w:rFonts w:ascii="Times New Roman" w:hAnsi="Times New Roman"/>
          <w:b w:val="1"/>
          <w:color w:val="111115"/>
          <w:sz w:val="24"/>
        </w:rPr>
        <w:t>планирование по праву (практикум), 11</w:t>
      </w:r>
      <w:r>
        <w:rPr>
          <w:rFonts w:ascii="Times New Roman" w:hAnsi="Times New Roman"/>
          <w:b w:val="1"/>
          <w:color w:val="111115"/>
          <w:sz w:val="24"/>
        </w:rPr>
        <w:t xml:space="preserve"> А</w:t>
      </w:r>
      <w:r>
        <w:rPr>
          <w:rFonts w:ascii="Times New Roman" w:hAnsi="Times New Roman"/>
          <w:b w:val="1"/>
          <w:color w:val="111115"/>
          <w:sz w:val="24"/>
        </w:rPr>
        <w:t xml:space="preserve"> класс</w:t>
      </w:r>
    </w:p>
    <w:p w14:paraId="39000000">
      <w:pPr>
        <w:spacing w:after="15" w:line="240" w:lineRule="auto"/>
        <w:ind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 </w:t>
      </w:r>
    </w:p>
    <w:tbl>
      <w:tblPr>
        <w:tblStyle w:val="Style_3"/>
        <w:tblInd w:type="dxa" w:w="-318"/>
        <w:tblLayout w:type="fixed"/>
        <w:tblCellMar>
          <w:left w:type="dxa" w:w="0"/>
          <w:right w:type="dxa" w:w="0"/>
        </w:tblCellMar>
      </w:tblPr>
      <w:tblGrid>
        <w:gridCol w:w="800"/>
        <w:gridCol w:w="6714"/>
        <w:gridCol w:w="2410"/>
        <w:gridCol w:w="3831"/>
      </w:tblGrid>
      <w:tr>
        <w:tc>
          <w:tcPr>
            <w:tcW w:type="dxa" w:w="80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урока</w:t>
            </w:r>
          </w:p>
        </w:tc>
        <w:tc>
          <w:tcPr>
            <w:tcW w:type="dxa" w:w="671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1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type="dxa" w:w="241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Субъекты </w:t>
            </w:r>
            <w:r>
              <w:rPr>
                <w:rFonts w:ascii="Times New Roman" w:hAnsi="Times New Roman"/>
                <w:b w:val="1"/>
                <w:sz w:val="24"/>
              </w:rPr>
              <w:t>гражданского права</w:t>
            </w:r>
            <w:r>
              <w:rPr>
                <w:rFonts w:ascii="Times New Roman" w:hAnsi="Times New Roman"/>
                <w:sz w:val="24"/>
              </w:rPr>
              <w:t>. Гражданский Кодекс РФ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 правовые формы и правовой режим предпринимательской деятельности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Имущественные и неимущественные права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Обязательственное право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на благоприятную окружающую среду и способы его защиты (Статья 42 Конституции РФ)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Налоговое право</w:t>
            </w:r>
            <w:r>
              <w:rPr>
                <w:rFonts w:ascii="Times New Roman" w:hAnsi="Times New Roman"/>
                <w:sz w:val="24"/>
              </w:rPr>
              <w:t>. Налоговые органы. Аудит (Налоговый кодекс РФ)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налогов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 и обязанности налогоплательщика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3755"/>
            <w:gridSpan w:val="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Семейное право</w:t>
            </w:r>
          </w:p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регулирование отношений супругов. Порядок и условия заключения и расторжения брака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 права и обязанности супругов (Глава 6 Семейного Кодекса РФ)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Имущественные права и обязанности супругов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Расторжение брака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3755"/>
            <w:gridSpan w:val="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Трудовое прав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. Решение задач по теме</w:t>
            </w:r>
          </w:p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источники трудового права (Конституция РФ, Трудовой Кодекс РФ, федеральные законы)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договор. Трудовой договор. Рабочее время и время отдыха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приёма на работу. Порядок заключения и расторжения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трудового договора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труда. Охрана труда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споры. Ответственность по трудовому праву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источники административного права. Административные правонарушения (Конституция РФ, Кодекс РФ об административных правонарушениях, таможенный Кодекс </w:t>
            </w:r>
            <w:r>
              <w:rPr>
                <w:rFonts w:ascii="Times New Roman" w:hAnsi="Times New Roman"/>
                <w:sz w:val="24"/>
              </w:rPr>
              <w:t>РФ, федеральные законы, з</w:t>
            </w:r>
            <w:r>
              <w:rPr>
                <w:rFonts w:ascii="Times New Roman" w:hAnsi="Times New Roman"/>
                <w:sz w:val="24"/>
              </w:rPr>
              <w:t>аконы субъектов РФ, указы Президента РФ, и пр.)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административной юрисдикции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административной юрисдикции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3755"/>
            <w:gridSpan w:val="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Уголовное право, основы судопроизводства</w:t>
            </w:r>
          </w:p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источники уголовного права (Уголовный Кодекс РФ)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Споры, порядок их рассмотрения. Составные части судебного разбирательства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правила и принципы гражданского процесса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уголовного процесса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Гражданство РФ, общие принципы российского гражданства (Конституция РФ, ФЗ от 2002 г. «О гражданстве РФ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Воинская обязанность, альтернативная гражданская служба</w:t>
            </w:r>
            <w:r>
              <w:rPr>
                <w:rFonts w:ascii="Times New Roman" w:hAnsi="Times New Roman"/>
                <w:sz w:val="24"/>
              </w:rPr>
              <w:t>. Решение задач по теме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6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31"/>
            <w:tcMar>
              <w:left w:type="dxa" w:w="0"/>
              <w:right w:type="dxa" w:w="0"/>
            </w:tcMar>
          </w:tcPr>
          <w:p/>
        </w:tc>
      </w:tr>
    </w:tbl>
    <w:p w14:paraId="A9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A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B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AC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AD000000">
      <w:pPr>
        <w:widowControl w:val="0"/>
        <w:tabs>
          <w:tab w:leader="none" w:pos="0" w:val="left"/>
        </w:tabs>
        <w:spacing w:after="0" w:line="240" w:lineRule="auto"/>
        <w:ind w:right="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 xml:space="preserve">                                             Лист корректировки рабочей программы</w:t>
      </w:r>
    </w:p>
    <w:p w14:paraId="AE000000">
      <w:pPr>
        <w:widowControl w:val="0"/>
        <w:tabs>
          <w:tab w:leader="none" w:pos="0" w:val="left"/>
        </w:tabs>
        <w:spacing w:after="0" w:line="240" w:lineRule="auto"/>
        <w:ind w:right="3"/>
        <w:jc w:val="center"/>
        <w:rPr>
          <w:rFonts w:ascii="Times New Roman" w:hAnsi="Times New Roman"/>
          <w:b w:val="1"/>
          <w:sz w:val="24"/>
        </w:rPr>
      </w:pPr>
    </w:p>
    <w:p w14:paraId="AF000000">
      <w:pPr>
        <w:widowControl w:val="0"/>
        <w:tabs>
          <w:tab w:leader="none" w:pos="0" w:val="left"/>
        </w:tabs>
        <w:spacing w:after="0" w:line="240" w:lineRule="auto"/>
        <w:ind w:right="3"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858"/>
        <w:gridCol w:w="1689"/>
        <w:gridCol w:w="5953"/>
        <w:gridCol w:w="1223"/>
      </w:tblGrid>
      <w:tr>
        <w:tc>
          <w:tcPr>
            <w:tcW w:type="dxa" w:w="858"/>
          </w:tcPr>
          <w:p w14:paraId="B0000000">
            <w:pPr>
              <w:widowControl w:val="0"/>
              <w:tabs>
                <w:tab w:leader="none" w:pos="0" w:val="left"/>
              </w:tabs>
              <w:ind w:right="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Класс </w:t>
            </w:r>
          </w:p>
        </w:tc>
        <w:tc>
          <w:tcPr>
            <w:tcW w:type="dxa" w:w="1689"/>
          </w:tcPr>
          <w:p w14:paraId="B1000000">
            <w:pPr>
              <w:widowControl w:val="0"/>
              <w:tabs>
                <w:tab w:leader="none" w:pos="0" w:val="left"/>
              </w:tabs>
              <w:ind w:right="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</w:t>
            </w:r>
          </w:p>
        </w:tc>
        <w:tc>
          <w:tcPr>
            <w:tcW w:type="dxa" w:w="5953"/>
          </w:tcPr>
          <w:p w14:paraId="B2000000">
            <w:pPr>
              <w:widowControl w:val="0"/>
              <w:tabs>
                <w:tab w:leader="none" w:pos="0" w:val="left"/>
              </w:tabs>
              <w:ind w:right="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Внесенные изменения в тематическое планирование</w:t>
            </w:r>
          </w:p>
        </w:tc>
        <w:tc>
          <w:tcPr>
            <w:tcW w:type="dxa" w:w="1223"/>
          </w:tcPr>
          <w:p w14:paraId="B3000000">
            <w:pPr>
              <w:widowControl w:val="0"/>
              <w:tabs>
                <w:tab w:leader="none" w:pos="0" w:val="left"/>
              </w:tabs>
              <w:ind w:right="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Даты </w:t>
            </w:r>
          </w:p>
        </w:tc>
      </w:tr>
    </w:tbl>
    <w:p w14:paraId="B4000000">
      <w:pPr>
        <w:tabs>
          <w:tab w:leader="none" w:pos="0" w:val="left"/>
        </w:tabs>
        <w:spacing w:after="0" w:line="240" w:lineRule="auto"/>
        <w:ind w:right="3"/>
        <w:rPr>
          <w:rFonts w:ascii="Times New Roman" w:hAnsi="Times New Roman"/>
          <w:b w:val="1"/>
          <w:sz w:val="24"/>
        </w:rPr>
      </w:pPr>
    </w:p>
    <w:p w14:paraId="B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B6000000">
      <w:pPr>
        <w:widowControl w:val="0"/>
        <w:spacing w:after="0" w:line="240" w:lineRule="auto"/>
        <w:ind w:firstLine="6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b w:val="1"/>
          <w:sz w:val="24"/>
        </w:rPr>
        <w:t>Лист согласования</w:t>
      </w:r>
    </w:p>
    <w:p w14:paraId="B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</w:p>
    <w:tbl>
      <w:tblPr>
        <w:tblStyle w:val="Style_4"/>
        <w:tblLayout w:type="fixed"/>
      </w:tblPr>
      <w:tblGrid>
        <w:gridCol w:w="4677"/>
        <w:gridCol w:w="4678"/>
      </w:tblGrid>
      <w:tr>
        <w:tc>
          <w:tcPr>
            <w:tcW w:type="dxa" w:w="4677"/>
          </w:tcPr>
          <w:p w14:paraId="B8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B9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кафедрой </w:t>
            </w:r>
          </w:p>
          <w:p w14:paraId="BA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Социогуманитарных</w:t>
            </w:r>
            <w:r>
              <w:rPr>
                <w:rFonts w:ascii="Times New Roman" w:hAnsi="Times New Roman"/>
                <w:sz w:val="24"/>
              </w:rPr>
              <w:t xml:space="preserve"> наук</w:t>
            </w:r>
          </w:p>
          <w:p w14:paraId="B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_____________/Черникова Е.А.</w:t>
            </w:r>
          </w:p>
          <w:p w14:paraId="B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заседания кафедры</w:t>
            </w:r>
          </w:p>
          <w:p w14:paraId="B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 от 22.08.2022 г.</w:t>
            </w:r>
          </w:p>
          <w:p w14:paraId="B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</w:tc>
        <w:tc>
          <w:tcPr>
            <w:tcW w:type="dxa" w:w="4678"/>
          </w:tcPr>
          <w:p w14:paraId="B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C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работе</w:t>
            </w:r>
          </w:p>
          <w:p w14:paraId="C1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_____________/ Колесникова Т.А.</w:t>
            </w:r>
          </w:p>
          <w:p w14:paraId="C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22.08.2022 г.</w:t>
            </w:r>
          </w:p>
        </w:tc>
      </w:tr>
    </w:tbl>
    <w:p w14:paraId="C3000000">
      <w:pPr>
        <w:ind/>
        <w:jc w:val="center"/>
        <w:rPr>
          <w:rFonts w:ascii="Times New Roman" w:hAnsi="Times New Roman"/>
          <w:b w:val="1"/>
          <w:sz w:val="24"/>
        </w:rPr>
      </w:pPr>
    </w:p>
    <w:sectPr>
      <w:footerReference r:id="rId2" w:type="first"/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mat-button-toggle-label-content"/>
    <w:basedOn w:val="Style_10"/>
    <w:link w:val="Style_12_ch"/>
  </w:style>
  <w:style w:styleId="Style_12_ch" w:type="character">
    <w:name w:val="mat-button-toggle-label-content"/>
    <w:basedOn w:val="Style_10_ch"/>
    <w:link w:val="Style_12"/>
  </w:style>
  <w:style w:styleId="Style_13" w:type="paragraph">
    <w:name w:val="mat-button-toggle-focus-overlay"/>
    <w:basedOn w:val="Style_10"/>
    <w:link w:val="Style_13_ch"/>
  </w:style>
  <w:style w:styleId="Style_13_ch" w:type="character">
    <w:name w:val="mat-button-toggle-focus-overlay"/>
    <w:basedOn w:val="Style_10_ch"/>
    <w:link w:val="Style_13"/>
  </w:style>
  <w:style w:styleId="Style_2" w:type="paragraph">
    <w:name w:val="Body Text"/>
    <w:basedOn w:val="Style_5"/>
    <w:link w:val="Style_2_ch"/>
    <w:pPr>
      <w:widowControl w:val="0"/>
      <w:spacing w:after="0" w:line="240" w:lineRule="auto"/>
      <w:ind w:firstLine="0" w:left="212"/>
    </w:pPr>
    <w:rPr>
      <w:rFonts w:ascii="Times New Roman" w:hAnsi="Times New Roman"/>
      <w:sz w:val="26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2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List Paragraph"/>
    <w:basedOn w:val="Style_5"/>
    <w:link w:val="Style_17_ch"/>
    <w:pPr>
      <w:widowControl w:val="0"/>
      <w:spacing w:after="0" w:line="240" w:lineRule="auto"/>
      <w:ind w:firstLine="708" w:left="212"/>
      <w:jc w:val="both"/>
    </w:pPr>
    <w:rPr>
      <w:rFonts w:ascii="Times New Roman" w:hAnsi="Times New Roman"/>
    </w:rPr>
  </w:style>
  <w:style w:styleId="Style_17_ch" w:type="character">
    <w:name w:val="List Paragraph"/>
    <w:basedOn w:val="Style_5_ch"/>
    <w:link w:val="Style_17"/>
    <w:rPr>
      <w:rFonts w:ascii="Times New Roman" w:hAnsi="Times New Roman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mat-ripple"/>
    <w:basedOn w:val="Style_10"/>
    <w:link w:val="Style_25_ch"/>
  </w:style>
  <w:style w:styleId="Style_25_ch" w:type="character">
    <w:name w:val="mat-ripple"/>
    <w:basedOn w:val="Style_10_ch"/>
    <w:link w:val="Style_25"/>
  </w:style>
  <w:style w:styleId="Style_26" w:type="paragraph">
    <w:name w:val="Normal (Web)"/>
    <w:basedOn w:val="Style_5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5_ch"/>
    <w:link w:val="Style_26"/>
    <w:rPr>
      <w:rFonts w:ascii="Times New Roman" w:hAnsi="Times New Roman"/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2023-09-21T03:04:07Z</dcterms:modified>
</cp:coreProperties>
</file>